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CC" w:rsidRPr="005B5C6F" w:rsidRDefault="000978CC" w:rsidP="000978CC">
      <w:pPr>
        <w:jc w:val="center"/>
        <w:rPr>
          <w:rFonts w:ascii="Times New Roman" w:hAnsi="Times New Roman" w:cs="Times New Roman"/>
          <w:i/>
          <w:sz w:val="32"/>
          <w:szCs w:val="32"/>
        </w:rPr>
      </w:pPr>
      <w:bookmarkStart w:id="0" w:name="_GoBack"/>
      <w:bookmarkEnd w:id="0"/>
      <w:r w:rsidRPr="005B5C6F">
        <w:rPr>
          <w:rFonts w:ascii="Times New Roman" w:hAnsi="Times New Roman" w:cs="Times New Roman"/>
          <w:i/>
          <w:sz w:val="32"/>
          <w:szCs w:val="32"/>
        </w:rPr>
        <w:t>Domme</w:t>
      </w:r>
      <w:r>
        <w:rPr>
          <w:rFonts w:ascii="Times New Roman" w:hAnsi="Times New Roman" w:cs="Times New Roman"/>
          <w:i/>
          <w:sz w:val="32"/>
          <w:szCs w:val="32"/>
        </w:rPr>
        <w:t>r</w:t>
      </w:r>
      <w:r w:rsidRPr="005B5C6F">
        <w:rPr>
          <w:rFonts w:ascii="Times New Roman" w:hAnsi="Times New Roman" w:cs="Times New Roman"/>
          <w:i/>
          <w:sz w:val="32"/>
          <w:szCs w:val="32"/>
        </w:rPr>
        <w:t>foreningens fagutvalg for strafferett og straffeprosess</w:t>
      </w:r>
    </w:p>
    <w:p w:rsidR="000978CC" w:rsidRPr="005B5C6F" w:rsidRDefault="000978CC" w:rsidP="000978CC">
      <w:pPr>
        <w:pStyle w:val="Overskrift1"/>
        <w:rPr>
          <w:rFonts w:ascii="Times New Roman" w:hAnsi="Times New Roman" w:cs="Times New Roman"/>
          <w:sz w:val="24"/>
          <w:szCs w:val="24"/>
        </w:rPr>
      </w:pPr>
    </w:p>
    <w:p w:rsidR="000978CC" w:rsidRPr="005B5C6F" w:rsidRDefault="000978CC" w:rsidP="000978CC">
      <w:pPr>
        <w:spacing w:after="0" w:line="288" w:lineRule="auto"/>
        <w:rPr>
          <w:rFonts w:ascii="Times New Roman" w:hAnsi="Times New Roman" w:cs="Times New Roman"/>
          <w:sz w:val="24"/>
          <w:szCs w:val="24"/>
        </w:rPr>
      </w:pPr>
      <w:r>
        <w:rPr>
          <w:rFonts w:ascii="Times New Roman" w:hAnsi="Times New Roman" w:cs="Times New Roman"/>
          <w:sz w:val="24"/>
          <w:szCs w:val="24"/>
        </w:rPr>
        <w:t>Justi</w:t>
      </w:r>
      <w:r w:rsidRPr="005B5C6F">
        <w:rPr>
          <w:rFonts w:ascii="Times New Roman" w:hAnsi="Times New Roman" w:cs="Times New Roman"/>
          <w:sz w:val="24"/>
          <w:szCs w:val="24"/>
        </w:rPr>
        <w:t>s</w:t>
      </w:r>
      <w:r>
        <w:rPr>
          <w:rFonts w:ascii="Times New Roman" w:hAnsi="Times New Roman" w:cs="Times New Roman"/>
          <w:sz w:val="24"/>
          <w:szCs w:val="24"/>
        </w:rPr>
        <w:t>- og beredskapsdepartementet</w:t>
      </w:r>
      <w:r w:rsidRPr="005B5C6F">
        <w:rPr>
          <w:rFonts w:ascii="Times New Roman" w:hAnsi="Times New Roman" w:cs="Times New Roman"/>
          <w:sz w:val="24"/>
          <w:szCs w:val="24"/>
        </w:rPr>
        <w:t xml:space="preserve"> </w:t>
      </w:r>
    </w:p>
    <w:p w:rsidR="000978CC" w:rsidRPr="005B5C6F" w:rsidRDefault="000978CC" w:rsidP="000978CC">
      <w:pPr>
        <w:spacing w:after="0" w:line="288" w:lineRule="auto"/>
        <w:rPr>
          <w:rFonts w:ascii="Times New Roman" w:hAnsi="Times New Roman" w:cs="Times New Roman"/>
          <w:sz w:val="24"/>
          <w:szCs w:val="24"/>
        </w:rPr>
      </w:pPr>
      <w:r w:rsidRPr="005B5C6F">
        <w:rPr>
          <w:rFonts w:ascii="Times New Roman" w:hAnsi="Times New Roman" w:cs="Times New Roman"/>
          <w:sz w:val="24"/>
          <w:szCs w:val="24"/>
        </w:rPr>
        <w:t>Pb. 80</w:t>
      </w:r>
      <w:r>
        <w:rPr>
          <w:rFonts w:ascii="Times New Roman" w:hAnsi="Times New Roman" w:cs="Times New Roman"/>
          <w:sz w:val="24"/>
          <w:szCs w:val="24"/>
        </w:rPr>
        <w:t>05</w:t>
      </w:r>
      <w:r w:rsidRPr="005B5C6F">
        <w:rPr>
          <w:rFonts w:ascii="Times New Roman" w:hAnsi="Times New Roman" w:cs="Times New Roman"/>
          <w:sz w:val="24"/>
          <w:szCs w:val="24"/>
        </w:rPr>
        <w:t xml:space="preserve"> Dep</w:t>
      </w:r>
    </w:p>
    <w:p w:rsidR="000978CC" w:rsidRPr="005B5C6F" w:rsidRDefault="000978CC" w:rsidP="000978CC">
      <w:pPr>
        <w:spacing w:after="0" w:line="288" w:lineRule="auto"/>
        <w:rPr>
          <w:rFonts w:ascii="Times New Roman" w:hAnsi="Times New Roman" w:cs="Times New Roman"/>
          <w:sz w:val="24"/>
          <w:szCs w:val="24"/>
        </w:rPr>
      </w:pPr>
      <w:r w:rsidRPr="005B5C6F">
        <w:rPr>
          <w:rFonts w:ascii="Times New Roman" w:hAnsi="Times New Roman" w:cs="Times New Roman"/>
          <w:sz w:val="24"/>
          <w:szCs w:val="24"/>
        </w:rPr>
        <w:t>0030 Oslo</w:t>
      </w:r>
    </w:p>
    <w:p w:rsidR="000978CC" w:rsidRDefault="000978CC" w:rsidP="000978CC">
      <w:pPr>
        <w:spacing w:after="0" w:line="28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78CC" w:rsidRDefault="000978CC" w:rsidP="000978CC">
      <w:pPr>
        <w:spacing w:after="0" w:line="288" w:lineRule="auto"/>
        <w:ind w:left="4248" w:firstLine="708"/>
        <w:rPr>
          <w:rFonts w:ascii="Times New Roman" w:hAnsi="Times New Roman" w:cs="Times New Roman"/>
          <w:sz w:val="24"/>
          <w:szCs w:val="24"/>
        </w:rPr>
      </w:pPr>
      <w:r>
        <w:rPr>
          <w:rFonts w:ascii="Times New Roman" w:hAnsi="Times New Roman" w:cs="Times New Roman"/>
          <w:sz w:val="24"/>
          <w:szCs w:val="24"/>
        </w:rPr>
        <w:t>20. februar 2017</w:t>
      </w:r>
    </w:p>
    <w:p w:rsidR="000978CC" w:rsidRDefault="000978CC" w:rsidP="000978CC">
      <w:pPr>
        <w:spacing w:after="0" w:line="288" w:lineRule="auto"/>
        <w:rPr>
          <w:rFonts w:ascii="Times New Roman" w:hAnsi="Times New Roman" w:cs="Times New Roman"/>
          <w:sz w:val="24"/>
          <w:szCs w:val="24"/>
        </w:rPr>
      </w:pPr>
    </w:p>
    <w:p w:rsidR="000978CC" w:rsidRDefault="000978CC" w:rsidP="000978CC">
      <w:pPr>
        <w:spacing w:after="0" w:line="288" w:lineRule="auto"/>
        <w:rPr>
          <w:rFonts w:ascii="Times New Roman" w:hAnsi="Times New Roman" w:cs="Times New Roman"/>
          <w:sz w:val="24"/>
          <w:szCs w:val="24"/>
        </w:rPr>
      </w:pPr>
      <w:r w:rsidRPr="005B5C6F">
        <w:rPr>
          <w:rFonts w:ascii="Times New Roman" w:hAnsi="Times New Roman" w:cs="Times New Roman"/>
          <w:sz w:val="24"/>
          <w:szCs w:val="24"/>
        </w:rPr>
        <w:t xml:space="preserve">Deres ref. </w:t>
      </w:r>
      <w:r w:rsidR="005C0D43">
        <w:rPr>
          <w:rFonts w:ascii="Times New Roman" w:hAnsi="Times New Roman" w:cs="Times New Roman"/>
          <w:sz w:val="24"/>
          <w:szCs w:val="24"/>
        </w:rPr>
        <w:t>16/7266 ES SSA/bj</w:t>
      </w:r>
      <w:r w:rsidRPr="005B5C6F">
        <w:rPr>
          <w:rFonts w:ascii="Times New Roman" w:hAnsi="Times New Roman" w:cs="Times New Roman"/>
          <w:sz w:val="24"/>
          <w:szCs w:val="24"/>
        </w:rPr>
        <w:tab/>
      </w:r>
      <w:r w:rsidRPr="005B5C6F">
        <w:rPr>
          <w:rFonts w:ascii="Times New Roman" w:hAnsi="Times New Roman" w:cs="Times New Roman"/>
          <w:sz w:val="24"/>
          <w:szCs w:val="24"/>
        </w:rPr>
        <w:tab/>
      </w:r>
      <w:r w:rsidRPr="005B5C6F">
        <w:rPr>
          <w:rFonts w:ascii="Times New Roman" w:hAnsi="Times New Roman" w:cs="Times New Roman"/>
          <w:sz w:val="24"/>
          <w:szCs w:val="24"/>
        </w:rPr>
        <w:tab/>
      </w:r>
      <w:r w:rsidRPr="005B5C6F">
        <w:rPr>
          <w:rFonts w:ascii="Times New Roman" w:hAnsi="Times New Roman" w:cs="Times New Roman"/>
          <w:sz w:val="24"/>
          <w:szCs w:val="24"/>
        </w:rPr>
        <w:tab/>
      </w:r>
      <w:r w:rsidRPr="005B5C6F">
        <w:rPr>
          <w:rFonts w:ascii="Times New Roman" w:hAnsi="Times New Roman" w:cs="Times New Roman"/>
          <w:sz w:val="24"/>
          <w:szCs w:val="24"/>
        </w:rPr>
        <w:tab/>
      </w:r>
      <w:r w:rsidRPr="005B5C6F">
        <w:rPr>
          <w:rFonts w:ascii="Times New Roman" w:hAnsi="Times New Roman" w:cs="Times New Roman"/>
          <w:sz w:val="24"/>
          <w:szCs w:val="24"/>
        </w:rPr>
        <w:tab/>
      </w:r>
    </w:p>
    <w:p w:rsidR="000978CC" w:rsidRPr="005B5C6F" w:rsidRDefault="000978CC" w:rsidP="000978CC">
      <w:pPr>
        <w:spacing w:after="0" w:line="288" w:lineRule="auto"/>
        <w:rPr>
          <w:rFonts w:ascii="Times New Roman" w:hAnsi="Times New Roman" w:cs="Times New Roman"/>
          <w:sz w:val="24"/>
          <w:szCs w:val="24"/>
        </w:rPr>
      </w:pPr>
      <w:r w:rsidRPr="005B5C6F">
        <w:rPr>
          <w:rFonts w:ascii="Times New Roman" w:hAnsi="Times New Roman" w:cs="Times New Roman"/>
          <w:sz w:val="24"/>
          <w:szCs w:val="24"/>
        </w:rPr>
        <w:tab/>
      </w:r>
      <w:r w:rsidRPr="005B5C6F">
        <w:rPr>
          <w:rFonts w:ascii="Times New Roman" w:hAnsi="Times New Roman" w:cs="Times New Roman"/>
          <w:sz w:val="24"/>
          <w:szCs w:val="24"/>
        </w:rPr>
        <w:tab/>
      </w:r>
    </w:p>
    <w:p w:rsidR="005C0D43" w:rsidRPr="006E1A7B" w:rsidRDefault="005C0D43" w:rsidP="005C0D43">
      <w:pPr>
        <w:rPr>
          <w:rFonts w:ascii="Times New Roman" w:hAnsi="Times New Roman" w:cs="Times New Roman"/>
          <w:b/>
          <w:sz w:val="28"/>
          <w:szCs w:val="28"/>
        </w:rPr>
      </w:pPr>
      <w:r w:rsidRPr="006E1A7B">
        <w:rPr>
          <w:rFonts w:ascii="Times New Roman" w:hAnsi="Times New Roman" w:cs="Times New Roman"/>
          <w:b/>
          <w:sz w:val="28"/>
          <w:szCs w:val="28"/>
        </w:rPr>
        <w:t>Høring – Forslag til lovendringer som følge av ulike terrorrelaterte folkerettslige forpliktelser</w:t>
      </w:r>
    </w:p>
    <w:p w:rsidR="000978CC" w:rsidRPr="005B5C6F" w:rsidRDefault="005C0D43" w:rsidP="000978CC">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vises </w:t>
      </w:r>
      <w:r w:rsidR="000978CC" w:rsidRPr="005B5C6F">
        <w:rPr>
          <w:rFonts w:ascii="Times New Roman" w:hAnsi="Times New Roman" w:cs="Times New Roman"/>
          <w:sz w:val="24"/>
          <w:szCs w:val="24"/>
        </w:rPr>
        <w:t xml:space="preserve">til departementets høringsbrev av </w:t>
      </w:r>
      <w:r>
        <w:rPr>
          <w:rFonts w:ascii="Times New Roman" w:hAnsi="Times New Roman" w:cs="Times New Roman"/>
          <w:sz w:val="24"/>
          <w:szCs w:val="24"/>
        </w:rPr>
        <w:t xml:space="preserve">21. november </w:t>
      </w:r>
      <w:r w:rsidR="000978CC">
        <w:rPr>
          <w:rFonts w:ascii="Times New Roman" w:hAnsi="Times New Roman" w:cs="Times New Roman"/>
          <w:sz w:val="24"/>
          <w:szCs w:val="24"/>
        </w:rPr>
        <w:t>2016</w:t>
      </w:r>
      <w:r>
        <w:rPr>
          <w:rFonts w:ascii="Times New Roman" w:hAnsi="Times New Roman" w:cs="Times New Roman"/>
          <w:sz w:val="24"/>
          <w:szCs w:val="24"/>
        </w:rPr>
        <w:t xml:space="preserve"> med frist 20. februar </w:t>
      </w:r>
      <w:r w:rsidR="000978CC" w:rsidRPr="005B5C6F">
        <w:rPr>
          <w:rFonts w:ascii="Times New Roman" w:hAnsi="Times New Roman" w:cs="Times New Roman"/>
          <w:sz w:val="24"/>
          <w:szCs w:val="24"/>
        </w:rPr>
        <w:t xml:space="preserve">d.å. </w:t>
      </w:r>
    </w:p>
    <w:p w:rsidR="005C0D43" w:rsidRDefault="005C0D43" w:rsidP="000978CC">
      <w:pPr>
        <w:spacing w:after="0" w:line="288" w:lineRule="auto"/>
        <w:rPr>
          <w:rFonts w:ascii="Times New Roman" w:hAnsi="Times New Roman" w:cs="Times New Roman"/>
          <w:sz w:val="24"/>
          <w:szCs w:val="24"/>
        </w:rPr>
      </w:pPr>
    </w:p>
    <w:p w:rsidR="000978CC" w:rsidRDefault="000978CC" w:rsidP="000978CC">
      <w:pPr>
        <w:spacing w:after="0" w:line="288" w:lineRule="auto"/>
        <w:rPr>
          <w:rFonts w:ascii="Times New Roman" w:hAnsi="Times New Roman" w:cs="Times New Roman"/>
          <w:sz w:val="24"/>
          <w:szCs w:val="24"/>
        </w:rPr>
      </w:pPr>
      <w:r w:rsidRPr="005B5C6F">
        <w:rPr>
          <w:rFonts w:ascii="Times New Roman" w:hAnsi="Times New Roman" w:cs="Times New Roman"/>
          <w:sz w:val="24"/>
          <w:szCs w:val="24"/>
        </w:rPr>
        <w:t>Dommerforeningens fagutvalg for strafferett og straffeprosess gir høringsuttalelse på vegne av foreningen om strafferettslige og -prosessuelle spørsmål</w:t>
      </w:r>
      <w:r>
        <w:rPr>
          <w:rFonts w:ascii="Times New Roman" w:hAnsi="Times New Roman" w:cs="Times New Roman"/>
          <w:sz w:val="24"/>
          <w:szCs w:val="24"/>
        </w:rPr>
        <w:t>.</w:t>
      </w:r>
      <w:r w:rsidRPr="005B5C6F">
        <w:rPr>
          <w:rFonts w:ascii="Times New Roman" w:hAnsi="Times New Roman" w:cs="Times New Roman"/>
          <w:sz w:val="24"/>
          <w:szCs w:val="24"/>
        </w:rPr>
        <w:t xml:space="preserve"> Utvalget består av </w:t>
      </w:r>
      <w:r w:rsidR="00B4764E" w:rsidRPr="005B5C6F">
        <w:rPr>
          <w:rFonts w:ascii="Times New Roman" w:hAnsi="Times New Roman" w:cs="Times New Roman"/>
          <w:sz w:val="24"/>
          <w:szCs w:val="24"/>
        </w:rPr>
        <w:t xml:space="preserve">lagmann </w:t>
      </w:r>
      <w:r w:rsidR="00B4764E">
        <w:rPr>
          <w:rFonts w:ascii="Times New Roman" w:hAnsi="Times New Roman" w:cs="Times New Roman"/>
          <w:sz w:val="24"/>
          <w:szCs w:val="24"/>
        </w:rPr>
        <w:t>Hans</w:t>
      </w:r>
      <w:r w:rsidRPr="005B5C6F">
        <w:rPr>
          <w:rFonts w:ascii="Times New Roman" w:hAnsi="Times New Roman" w:cs="Times New Roman"/>
          <w:sz w:val="24"/>
          <w:szCs w:val="24"/>
        </w:rPr>
        <w:t xml:space="preserve"> Petter Jahre, Borgarting lagmannsrett (leder), </w:t>
      </w:r>
      <w:r w:rsidR="00B4764E" w:rsidRPr="005B5C6F">
        <w:rPr>
          <w:rFonts w:ascii="Times New Roman" w:hAnsi="Times New Roman" w:cs="Times New Roman"/>
          <w:sz w:val="24"/>
          <w:szCs w:val="24"/>
        </w:rPr>
        <w:t xml:space="preserve">førstelagmann </w:t>
      </w:r>
      <w:r w:rsidR="00B4764E">
        <w:rPr>
          <w:rFonts w:ascii="Times New Roman" w:hAnsi="Times New Roman" w:cs="Times New Roman"/>
          <w:sz w:val="24"/>
          <w:szCs w:val="24"/>
        </w:rPr>
        <w:t>Dag</w:t>
      </w:r>
      <w:r w:rsidRPr="005B5C6F">
        <w:rPr>
          <w:rFonts w:ascii="Times New Roman" w:hAnsi="Times New Roman" w:cs="Times New Roman"/>
          <w:sz w:val="24"/>
          <w:szCs w:val="24"/>
        </w:rPr>
        <w:t xml:space="preserve"> Bugge Nordén, Agder lagmannsrett, lagmann Torolv Groseth, Eidsivating lagmannsrett, lagdommer Jarle Golten Smørdal, Gulating lagmannsrett, sorenskriver Stein Husby, Kongsberg </w:t>
      </w:r>
      <w:r>
        <w:rPr>
          <w:rFonts w:ascii="Times New Roman" w:hAnsi="Times New Roman" w:cs="Times New Roman"/>
          <w:sz w:val="24"/>
          <w:szCs w:val="24"/>
        </w:rPr>
        <w:t xml:space="preserve">og Eiker </w:t>
      </w:r>
      <w:r w:rsidRPr="005B5C6F">
        <w:rPr>
          <w:rFonts w:ascii="Times New Roman" w:hAnsi="Times New Roman" w:cs="Times New Roman"/>
          <w:sz w:val="24"/>
          <w:szCs w:val="24"/>
        </w:rPr>
        <w:t>tingrett og tingrettsdommer Cathrine Fossen, Gjøvik tingrett.</w:t>
      </w:r>
    </w:p>
    <w:p w:rsidR="00647FDB" w:rsidRDefault="00647FDB" w:rsidP="000978CC">
      <w:pPr>
        <w:spacing w:after="0" w:line="288" w:lineRule="auto"/>
        <w:rPr>
          <w:rFonts w:ascii="Times New Roman" w:hAnsi="Times New Roman" w:cs="Times New Roman"/>
          <w:sz w:val="24"/>
          <w:szCs w:val="24"/>
        </w:rPr>
      </w:pPr>
    </w:p>
    <w:p w:rsidR="00647FDB" w:rsidRDefault="00647FDB" w:rsidP="000978CC">
      <w:pPr>
        <w:spacing w:after="0" w:line="288" w:lineRule="auto"/>
        <w:rPr>
          <w:rFonts w:ascii="Times New Roman" w:hAnsi="Times New Roman" w:cs="Times New Roman"/>
          <w:sz w:val="24"/>
          <w:szCs w:val="24"/>
        </w:rPr>
      </w:pPr>
      <w:r>
        <w:rPr>
          <w:rFonts w:ascii="Times New Roman" w:hAnsi="Times New Roman" w:cs="Times New Roman"/>
          <w:sz w:val="24"/>
          <w:szCs w:val="24"/>
        </w:rPr>
        <w:t>Uttalelsen inngis kun per e-post til lovavdelingen@jd.dep.no.</w:t>
      </w:r>
    </w:p>
    <w:p w:rsidR="00F276CE" w:rsidRDefault="00F276CE" w:rsidP="000978CC">
      <w:pPr>
        <w:spacing w:after="0" w:line="288" w:lineRule="auto"/>
        <w:rPr>
          <w:rFonts w:ascii="Times New Roman" w:hAnsi="Times New Roman" w:cs="Times New Roman"/>
          <w:sz w:val="24"/>
          <w:szCs w:val="24"/>
        </w:rPr>
      </w:pPr>
      <w:r>
        <w:rPr>
          <w:rFonts w:ascii="Times New Roman" w:hAnsi="Times New Roman" w:cs="Times New Roman"/>
          <w:sz w:val="24"/>
          <w:szCs w:val="24"/>
        </w:rPr>
        <w:br/>
      </w:r>
      <w:r w:rsidR="005F6904">
        <w:rPr>
          <w:rFonts w:ascii="Times New Roman" w:hAnsi="Times New Roman" w:cs="Times New Roman"/>
          <w:sz w:val="24"/>
          <w:szCs w:val="24"/>
        </w:rPr>
        <w:t>Vi følger systematikken i høringsnotatet.</w:t>
      </w:r>
    </w:p>
    <w:p w:rsidR="006E1A7B" w:rsidRPr="006E1A7B" w:rsidRDefault="005F6904" w:rsidP="000978CC">
      <w:pPr>
        <w:spacing w:after="0" w:line="288" w:lineRule="auto"/>
        <w:rPr>
          <w:rFonts w:ascii="Times New Roman" w:hAnsi="Times New Roman" w:cs="Times New Roman"/>
          <w:b/>
          <w:sz w:val="26"/>
          <w:szCs w:val="26"/>
        </w:rPr>
      </w:pPr>
      <w:r>
        <w:rPr>
          <w:rFonts w:ascii="Times New Roman" w:hAnsi="Times New Roman" w:cs="Times New Roman"/>
          <w:sz w:val="24"/>
          <w:szCs w:val="24"/>
        </w:rPr>
        <w:br/>
      </w:r>
      <w:r w:rsidR="006E1A7B" w:rsidRPr="006E1A7B">
        <w:rPr>
          <w:rFonts w:ascii="Times New Roman" w:hAnsi="Times New Roman" w:cs="Times New Roman"/>
          <w:b/>
          <w:sz w:val="26"/>
          <w:szCs w:val="26"/>
        </w:rPr>
        <w:t>2. Reiser med terrorformål mv.</w:t>
      </w:r>
    </w:p>
    <w:p w:rsidR="006E1A7B" w:rsidRDefault="006E1A7B" w:rsidP="000978CC">
      <w:pPr>
        <w:spacing w:after="0" w:line="288" w:lineRule="auto"/>
        <w:rPr>
          <w:rFonts w:ascii="Times New Roman" w:hAnsi="Times New Roman" w:cs="Times New Roman"/>
          <w:b/>
          <w:sz w:val="24"/>
          <w:szCs w:val="24"/>
        </w:rPr>
      </w:pPr>
    </w:p>
    <w:p w:rsidR="00A079BF" w:rsidRDefault="005F6904" w:rsidP="000978CC">
      <w:pPr>
        <w:spacing w:after="0" w:line="288" w:lineRule="auto"/>
        <w:rPr>
          <w:rFonts w:ascii="Times New Roman" w:hAnsi="Times New Roman" w:cs="Times New Roman"/>
          <w:sz w:val="24"/>
          <w:szCs w:val="24"/>
        </w:rPr>
      </w:pPr>
      <w:r>
        <w:rPr>
          <w:rFonts w:ascii="Times New Roman" w:hAnsi="Times New Roman" w:cs="Times New Roman"/>
          <w:sz w:val="24"/>
          <w:szCs w:val="24"/>
        </w:rPr>
        <w:t>Fagutvalget er enig med departementet i at det er ønskelig</w:t>
      </w:r>
      <w:r w:rsidR="00CB50A4">
        <w:rPr>
          <w:rFonts w:ascii="Times New Roman" w:hAnsi="Times New Roman" w:cs="Times New Roman"/>
          <w:sz w:val="24"/>
          <w:szCs w:val="24"/>
        </w:rPr>
        <w:t xml:space="preserve"> å</w:t>
      </w:r>
      <w:r>
        <w:rPr>
          <w:rFonts w:ascii="Times New Roman" w:hAnsi="Times New Roman" w:cs="Times New Roman"/>
          <w:sz w:val="24"/>
          <w:szCs w:val="24"/>
        </w:rPr>
        <w:t xml:space="preserve"> </w:t>
      </w:r>
      <w:r w:rsidR="00CB50A4">
        <w:rPr>
          <w:rFonts w:ascii="Times New Roman" w:hAnsi="Times New Roman" w:cs="Times New Roman"/>
          <w:sz w:val="24"/>
          <w:szCs w:val="24"/>
        </w:rPr>
        <w:t xml:space="preserve">gjennomføre i norsk rett </w:t>
      </w:r>
      <w:r>
        <w:rPr>
          <w:rFonts w:ascii="Times New Roman" w:hAnsi="Times New Roman" w:cs="Times New Roman"/>
          <w:sz w:val="24"/>
          <w:szCs w:val="24"/>
        </w:rPr>
        <w:t>FNs sikkerhetsrådsresolusjon 2178 og Rigaprotokollen</w:t>
      </w:r>
      <w:r w:rsidR="00CB50A4">
        <w:rPr>
          <w:rFonts w:ascii="Times New Roman" w:hAnsi="Times New Roman" w:cs="Times New Roman"/>
          <w:sz w:val="24"/>
          <w:szCs w:val="24"/>
        </w:rPr>
        <w:t xml:space="preserve"> 22. oktober 2015, tilleggsprotokoll til Europarådets konvensjon 16.mai 2005 om forebygging av terrorisme.</w:t>
      </w:r>
      <w:r w:rsidR="00B5365A">
        <w:rPr>
          <w:rFonts w:ascii="Times New Roman" w:hAnsi="Times New Roman" w:cs="Times New Roman"/>
          <w:sz w:val="24"/>
          <w:szCs w:val="24"/>
        </w:rPr>
        <w:t xml:space="preserve"> </w:t>
      </w:r>
    </w:p>
    <w:p w:rsidR="005F6904" w:rsidRDefault="00A079BF" w:rsidP="000978CC">
      <w:pPr>
        <w:spacing w:after="0" w:line="288" w:lineRule="auto"/>
        <w:rPr>
          <w:rFonts w:ascii="Times New Roman" w:hAnsi="Times New Roman" w:cs="Times New Roman"/>
          <w:sz w:val="24"/>
          <w:szCs w:val="24"/>
        </w:rPr>
      </w:pPr>
      <w:r>
        <w:rPr>
          <w:rFonts w:ascii="Times New Roman" w:hAnsi="Times New Roman" w:cs="Times New Roman"/>
          <w:sz w:val="24"/>
          <w:szCs w:val="24"/>
        </w:rPr>
        <w:br/>
        <w:t xml:space="preserve">Formålet med disse </w:t>
      </w:r>
      <w:r w:rsidR="00B65A0B">
        <w:rPr>
          <w:rFonts w:ascii="Times New Roman" w:hAnsi="Times New Roman" w:cs="Times New Roman"/>
          <w:sz w:val="24"/>
          <w:szCs w:val="24"/>
        </w:rPr>
        <w:t xml:space="preserve">folkerettslige </w:t>
      </w:r>
      <w:r>
        <w:rPr>
          <w:rFonts w:ascii="Times New Roman" w:hAnsi="Times New Roman" w:cs="Times New Roman"/>
          <w:sz w:val="24"/>
          <w:szCs w:val="24"/>
        </w:rPr>
        <w:t>instrumentene er særlig å bekjempe fenomenet fremmedkrigere «foreign terrorist fighters» ved å forebygge at personer reiser utenlands for på ulike måter å delta i terrorhandlinger eller terrortrening.</w:t>
      </w:r>
      <w:r w:rsidR="00B5365A">
        <w:rPr>
          <w:rFonts w:ascii="Times New Roman" w:hAnsi="Times New Roman" w:cs="Times New Roman"/>
          <w:sz w:val="24"/>
          <w:szCs w:val="24"/>
        </w:rPr>
        <w:t xml:space="preserve"> </w:t>
      </w:r>
      <w:r w:rsidR="00CB50A4">
        <w:rPr>
          <w:rFonts w:ascii="Times New Roman" w:hAnsi="Times New Roman" w:cs="Times New Roman"/>
          <w:sz w:val="24"/>
          <w:szCs w:val="24"/>
        </w:rPr>
        <w:t>Det er et viktig og aktuelt formål, og det er nødvendig å oppfylle Norges folker</w:t>
      </w:r>
      <w:r w:rsidR="004112FD">
        <w:rPr>
          <w:rFonts w:ascii="Times New Roman" w:hAnsi="Times New Roman" w:cs="Times New Roman"/>
          <w:sz w:val="24"/>
          <w:szCs w:val="24"/>
        </w:rPr>
        <w:t>ettslige forpliktelser på dette området.</w:t>
      </w:r>
    </w:p>
    <w:p w:rsidR="006743C6" w:rsidRDefault="006743C6" w:rsidP="000978CC">
      <w:pPr>
        <w:spacing w:after="0" w:line="288" w:lineRule="auto"/>
        <w:rPr>
          <w:rFonts w:ascii="Times New Roman" w:hAnsi="Times New Roman" w:cs="Times New Roman"/>
          <w:sz w:val="24"/>
          <w:szCs w:val="24"/>
        </w:rPr>
      </w:pPr>
    </w:p>
    <w:p w:rsidR="006743C6" w:rsidRDefault="006743C6" w:rsidP="000978CC">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Utvalget er </w:t>
      </w:r>
      <w:r w:rsidRPr="006743C6">
        <w:rPr>
          <w:rFonts w:ascii="Times New Roman" w:hAnsi="Times New Roman" w:cs="Times New Roman"/>
          <w:sz w:val="24"/>
          <w:szCs w:val="24"/>
        </w:rPr>
        <w:t>enig i departementets vurdering a</w:t>
      </w:r>
      <w:r>
        <w:rPr>
          <w:rFonts w:ascii="Times New Roman" w:hAnsi="Times New Roman" w:cs="Times New Roman"/>
          <w:sz w:val="24"/>
          <w:szCs w:val="24"/>
        </w:rPr>
        <w:t xml:space="preserve">v behovet for lovendringer og kan i all </w:t>
      </w:r>
      <w:r w:rsidRPr="006743C6">
        <w:rPr>
          <w:rFonts w:ascii="Times New Roman" w:hAnsi="Times New Roman" w:cs="Times New Roman"/>
          <w:sz w:val="24"/>
          <w:szCs w:val="24"/>
        </w:rPr>
        <w:t xml:space="preserve">hovedsak </w:t>
      </w:r>
      <w:r>
        <w:rPr>
          <w:rFonts w:ascii="Times New Roman" w:hAnsi="Times New Roman" w:cs="Times New Roman"/>
          <w:sz w:val="24"/>
          <w:szCs w:val="24"/>
        </w:rPr>
        <w:t>gi sin tilslutning til de</w:t>
      </w:r>
      <w:r w:rsidR="00B65A0B">
        <w:rPr>
          <w:rFonts w:ascii="Times New Roman" w:hAnsi="Times New Roman" w:cs="Times New Roman"/>
          <w:sz w:val="24"/>
          <w:szCs w:val="24"/>
        </w:rPr>
        <w:t xml:space="preserve"> </w:t>
      </w:r>
      <w:r>
        <w:rPr>
          <w:rFonts w:ascii="Times New Roman" w:hAnsi="Times New Roman" w:cs="Times New Roman"/>
          <w:sz w:val="24"/>
          <w:szCs w:val="24"/>
        </w:rPr>
        <w:t>konkrete forslag</w:t>
      </w:r>
      <w:r w:rsidR="00B65A0B">
        <w:rPr>
          <w:rFonts w:ascii="Times New Roman" w:hAnsi="Times New Roman" w:cs="Times New Roman"/>
          <w:sz w:val="24"/>
          <w:szCs w:val="24"/>
        </w:rPr>
        <w:t>ene</w:t>
      </w:r>
      <w:r>
        <w:rPr>
          <w:rFonts w:ascii="Times New Roman" w:hAnsi="Times New Roman" w:cs="Times New Roman"/>
          <w:sz w:val="24"/>
          <w:szCs w:val="24"/>
        </w:rPr>
        <w:t xml:space="preserve"> til </w:t>
      </w:r>
      <w:r w:rsidRPr="006743C6">
        <w:rPr>
          <w:rFonts w:ascii="Times New Roman" w:hAnsi="Times New Roman" w:cs="Times New Roman"/>
          <w:sz w:val="24"/>
          <w:szCs w:val="24"/>
        </w:rPr>
        <w:t xml:space="preserve">endringer i straffeloven kapittel 18 og </w:t>
      </w:r>
      <w:r w:rsidRPr="006743C6">
        <w:rPr>
          <w:rFonts w:ascii="Times New Roman" w:hAnsi="Times New Roman" w:cs="Times New Roman"/>
          <w:sz w:val="24"/>
          <w:szCs w:val="24"/>
        </w:rPr>
        <w:lastRenderedPageBreak/>
        <w:t xml:space="preserve">korresponderende forslag </w:t>
      </w:r>
      <w:r w:rsidR="00B65A0B">
        <w:rPr>
          <w:rFonts w:ascii="Times New Roman" w:hAnsi="Times New Roman" w:cs="Times New Roman"/>
          <w:sz w:val="24"/>
          <w:szCs w:val="24"/>
        </w:rPr>
        <w:t xml:space="preserve">til endringer i straffeprosessloven </w:t>
      </w:r>
      <w:r w:rsidRPr="006743C6">
        <w:rPr>
          <w:rFonts w:ascii="Times New Roman" w:hAnsi="Times New Roman" w:cs="Times New Roman"/>
          <w:sz w:val="24"/>
          <w:szCs w:val="24"/>
        </w:rPr>
        <w:t>om utvidelse av adgangen til skjulte etterforskningsmetoder i saker om reiser med terrorformål</w:t>
      </w:r>
      <w:r>
        <w:rPr>
          <w:rFonts w:ascii="Times New Roman" w:hAnsi="Times New Roman" w:cs="Times New Roman"/>
          <w:sz w:val="24"/>
          <w:szCs w:val="24"/>
        </w:rPr>
        <w:t xml:space="preserve">. </w:t>
      </w:r>
    </w:p>
    <w:p w:rsidR="009F1C8D" w:rsidRDefault="009F1C8D" w:rsidP="000978CC">
      <w:pPr>
        <w:spacing w:after="0" w:line="288" w:lineRule="auto"/>
        <w:rPr>
          <w:rFonts w:ascii="Times New Roman" w:hAnsi="Times New Roman" w:cs="Times New Roman"/>
          <w:sz w:val="24"/>
          <w:szCs w:val="24"/>
        </w:rPr>
      </w:pPr>
    </w:p>
    <w:p w:rsidR="006E1A7B" w:rsidRPr="005F6904" w:rsidRDefault="006E1A7B" w:rsidP="006E1A7B">
      <w:pPr>
        <w:spacing w:after="0" w:line="288" w:lineRule="auto"/>
        <w:rPr>
          <w:rFonts w:ascii="Times New Roman" w:hAnsi="Times New Roman" w:cs="Times New Roman"/>
          <w:b/>
          <w:sz w:val="24"/>
          <w:szCs w:val="24"/>
        </w:rPr>
      </w:pPr>
      <w:r>
        <w:rPr>
          <w:rFonts w:ascii="Times New Roman" w:hAnsi="Times New Roman" w:cs="Times New Roman"/>
          <w:b/>
          <w:sz w:val="24"/>
          <w:szCs w:val="24"/>
        </w:rPr>
        <w:t xml:space="preserve">2.6 </w:t>
      </w:r>
      <w:r w:rsidRPr="005F6904">
        <w:rPr>
          <w:rFonts w:ascii="Times New Roman" w:hAnsi="Times New Roman" w:cs="Times New Roman"/>
          <w:b/>
          <w:sz w:val="24"/>
          <w:szCs w:val="24"/>
        </w:rPr>
        <w:t xml:space="preserve">Reiser med terrorformål </w:t>
      </w:r>
    </w:p>
    <w:p w:rsidR="006E1A7B" w:rsidRDefault="006E1A7B" w:rsidP="000978CC">
      <w:pPr>
        <w:spacing w:after="0" w:line="288" w:lineRule="auto"/>
        <w:rPr>
          <w:rFonts w:ascii="Times New Roman" w:hAnsi="Times New Roman" w:cs="Times New Roman"/>
          <w:sz w:val="24"/>
          <w:szCs w:val="24"/>
        </w:rPr>
      </w:pPr>
    </w:p>
    <w:p w:rsidR="00D26E7F" w:rsidRDefault="009F1C8D" w:rsidP="000978CC">
      <w:pPr>
        <w:spacing w:after="0" w:line="288" w:lineRule="auto"/>
        <w:rPr>
          <w:rFonts w:ascii="Times New Roman" w:hAnsi="Times New Roman" w:cs="Times New Roman"/>
          <w:sz w:val="24"/>
          <w:szCs w:val="24"/>
        </w:rPr>
      </w:pPr>
      <w:r w:rsidRPr="009F1C8D">
        <w:rPr>
          <w:rFonts w:ascii="Times New Roman" w:hAnsi="Times New Roman" w:cs="Times New Roman"/>
          <w:sz w:val="24"/>
          <w:szCs w:val="24"/>
        </w:rPr>
        <w:t>Statene er ikke forpliktet til å gi et særskilt straffebud rettet mot reiser med terrorformål. Det vil være tilstrekkelig dersom handlingene vil være straffbare som forsøk eller medvirkning til overtredelse av et eller flere terrorrelaterte straffebud.</w:t>
      </w:r>
      <w:r w:rsidR="002C6B9A">
        <w:rPr>
          <w:rFonts w:ascii="Times New Roman" w:hAnsi="Times New Roman" w:cs="Times New Roman"/>
          <w:sz w:val="24"/>
          <w:szCs w:val="24"/>
        </w:rPr>
        <w:t xml:space="preserve"> D</w:t>
      </w:r>
      <w:r w:rsidRPr="009F1C8D">
        <w:rPr>
          <w:rFonts w:ascii="Times New Roman" w:hAnsi="Times New Roman" w:cs="Times New Roman"/>
          <w:sz w:val="24"/>
          <w:szCs w:val="24"/>
        </w:rPr>
        <w:t xml:space="preserve">et utvidede forsøksansvaret i </w:t>
      </w:r>
      <w:r>
        <w:rPr>
          <w:rFonts w:ascii="Times New Roman" w:hAnsi="Times New Roman" w:cs="Times New Roman"/>
          <w:sz w:val="24"/>
          <w:szCs w:val="24"/>
        </w:rPr>
        <w:t xml:space="preserve">straffeloven </w:t>
      </w:r>
      <w:r w:rsidRPr="009F1C8D">
        <w:rPr>
          <w:rFonts w:ascii="Times New Roman" w:hAnsi="Times New Roman" w:cs="Times New Roman"/>
          <w:sz w:val="24"/>
          <w:szCs w:val="24"/>
        </w:rPr>
        <w:t xml:space="preserve">§ 131 tredje ledd og reglene om terrorforbund i § 133 og deltakelse i terrororganisasjon i § 136 a </w:t>
      </w:r>
      <w:r w:rsidR="002C6B9A">
        <w:rPr>
          <w:rFonts w:ascii="Times New Roman" w:hAnsi="Times New Roman" w:cs="Times New Roman"/>
          <w:sz w:val="24"/>
          <w:szCs w:val="24"/>
        </w:rPr>
        <w:t xml:space="preserve">vil nok </w:t>
      </w:r>
      <w:r w:rsidRPr="009F1C8D">
        <w:rPr>
          <w:rFonts w:ascii="Times New Roman" w:hAnsi="Times New Roman" w:cs="Times New Roman"/>
          <w:sz w:val="24"/>
          <w:szCs w:val="24"/>
        </w:rPr>
        <w:t xml:space="preserve">ramme de fleste reiser med det formål å delta i terrorhandlinger og terrorrelatert aktivitet. </w:t>
      </w:r>
      <w:r w:rsidR="00D26E7F" w:rsidRPr="00D26E7F">
        <w:rPr>
          <w:rFonts w:ascii="Times New Roman" w:hAnsi="Times New Roman" w:cs="Times New Roman"/>
          <w:sz w:val="24"/>
          <w:szCs w:val="24"/>
        </w:rPr>
        <w:t xml:space="preserve">Departementet konkluderer likevel med at lovendring er nødvendig for fullt ut å dekke alle tilfeller som omfattes av </w:t>
      </w:r>
      <w:r w:rsidR="00D26E7F">
        <w:rPr>
          <w:rFonts w:ascii="Times New Roman" w:hAnsi="Times New Roman" w:cs="Times New Roman"/>
          <w:sz w:val="24"/>
          <w:szCs w:val="24"/>
        </w:rPr>
        <w:t xml:space="preserve">Resolusjon 2178 og Rigaprotokollen </w:t>
      </w:r>
      <w:r w:rsidR="00D26E7F" w:rsidRPr="00D26E7F">
        <w:rPr>
          <w:rFonts w:ascii="Times New Roman" w:hAnsi="Times New Roman" w:cs="Times New Roman"/>
          <w:sz w:val="24"/>
          <w:szCs w:val="24"/>
        </w:rPr>
        <w:t>artikkel 4</w:t>
      </w:r>
      <w:r w:rsidR="00D26E7F">
        <w:rPr>
          <w:rFonts w:ascii="Times New Roman" w:hAnsi="Times New Roman" w:cs="Times New Roman"/>
          <w:sz w:val="24"/>
          <w:szCs w:val="24"/>
        </w:rPr>
        <w:t xml:space="preserve">. </w:t>
      </w:r>
    </w:p>
    <w:p w:rsidR="00D26E7F" w:rsidRDefault="00D26E7F" w:rsidP="000978CC">
      <w:pPr>
        <w:spacing w:after="0" w:line="288" w:lineRule="auto"/>
        <w:rPr>
          <w:rFonts w:ascii="Times New Roman" w:hAnsi="Times New Roman" w:cs="Times New Roman"/>
          <w:sz w:val="24"/>
          <w:szCs w:val="24"/>
        </w:rPr>
      </w:pPr>
    </w:p>
    <w:p w:rsidR="004112FD" w:rsidRDefault="00D26E7F" w:rsidP="000978CC">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Departementet </w:t>
      </w:r>
      <w:r w:rsidR="000168C6">
        <w:rPr>
          <w:rFonts w:ascii="Times New Roman" w:hAnsi="Times New Roman" w:cs="Times New Roman"/>
          <w:sz w:val="24"/>
          <w:szCs w:val="24"/>
        </w:rPr>
        <w:t xml:space="preserve">har utformet to alternative forslag </w:t>
      </w:r>
      <w:r w:rsidRPr="00D26E7F">
        <w:rPr>
          <w:rFonts w:ascii="Times New Roman" w:hAnsi="Times New Roman" w:cs="Times New Roman"/>
          <w:sz w:val="24"/>
          <w:szCs w:val="24"/>
        </w:rPr>
        <w:t xml:space="preserve">i </w:t>
      </w:r>
      <w:r>
        <w:rPr>
          <w:rFonts w:ascii="Times New Roman" w:hAnsi="Times New Roman" w:cs="Times New Roman"/>
          <w:sz w:val="24"/>
          <w:szCs w:val="24"/>
        </w:rPr>
        <w:t xml:space="preserve">høringsnotatet </w:t>
      </w:r>
      <w:r w:rsidRPr="00D26E7F">
        <w:rPr>
          <w:rFonts w:ascii="Times New Roman" w:hAnsi="Times New Roman" w:cs="Times New Roman"/>
          <w:sz w:val="24"/>
          <w:szCs w:val="24"/>
        </w:rPr>
        <w:t>punkt 2.6.5.</w:t>
      </w:r>
    </w:p>
    <w:p w:rsidR="00D26E7F" w:rsidRDefault="00D26E7F" w:rsidP="000978CC">
      <w:pPr>
        <w:spacing w:after="0" w:line="288" w:lineRule="auto"/>
        <w:rPr>
          <w:rFonts w:ascii="Times New Roman" w:hAnsi="Times New Roman" w:cs="Times New Roman"/>
          <w:sz w:val="24"/>
          <w:szCs w:val="24"/>
        </w:rPr>
      </w:pPr>
    </w:p>
    <w:p w:rsidR="00C95A29" w:rsidRDefault="00D26E7F" w:rsidP="00C95A29">
      <w:pPr>
        <w:spacing w:after="0" w:line="288" w:lineRule="auto"/>
        <w:rPr>
          <w:rFonts w:ascii="Times New Roman" w:hAnsi="Times New Roman" w:cs="Times New Roman"/>
          <w:sz w:val="24"/>
          <w:szCs w:val="24"/>
        </w:rPr>
      </w:pPr>
      <w:r>
        <w:rPr>
          <w:rFonts w:ascii="Times New Roman" w:hAnsi="Times New Roman" w:cs="Times New Roman"/>
          <w:sz w:val="24"/>
          <w:szCs w:val="24"/>
        </w:rPr>
        <w:t>Fagutvalget har preferanse for alterna</w:t>
      </w:r>
      <w:r w:rsidR="000168C6">
        <w:rPr>
          <w:rFonts w:ascii="Times New Roman" w:hAnsi="Times New Roman" w:cs="Times New Roman"/>
          <w:sz w:val="24"/>
          <w:szCs w:val="24"/>
        </w:rPr>
        <w:t>tiv 2. Forslaget er å gi et eget straffebud rettet mot reise</w:t>
      </w:r>
      <w:r w:rsidR="00913815">
        <w:rPr>
          <w:rFonts w:ascii="Times New Roman" w:hAnsi="Times New Roman" w:cs="Times New Roman"/>
          <w:sz w:val="24"/>
          <w:szCs w:val="24"/>
        </w:rPr>
        <w:t>r</w:t>
      </w:r>
      <w:r w:rsidR="000168C6">
        <w:rPr>
          <w:rFonts w:ascii="Times New Roman" w:hAnsi="Times New Roman" w:cs="Times New Roman"/>
          <w:sz w:val="24"/>
          <w:szCs w:val="24"/>
        </w:rPr>
        <w:t xml:space="preserve"> med terrorformål som passende kan inntas som ny § 136 b i straffeloven. Utvalget er enig i begrunnelsen i høringsnotatet punkt 2.6.5.2.1</w:t>
      </w:r>
      <w:r w:rsidR="004C653A">
        <w:rPr>
          <w:rFonts w:ascii="Times New Roman" w:hAnsi="Times New Roman" w:cs="Times New Roman"/>
          <w:sz w:val="24"/>
          <w:szCs w:val="24"/>
        </w:rPr>
        <w:t xml:space="preserve"> på side 23-24. </w:t>
      </w:r>
      <w:r w:rsidR="00561CD9">
        <w:rPr>
          <w:rFonts w:ascii="Times New Roman" w:hAnsi="Times New Roman" w:cs="Times New Roman"/>
          <w:sz w:val="24"/>
          <w:szCs w:val="24"/>
        </w:rPr>
        <w:t xml:space="preserve">Ved å gi et eget straffebud synliggjør man best at kriminalitetsforpliktelsene er lojalt gjennomført, letter internasjonalt samarbeid og spisser kriminaliseringen av terrorrelatert reisevirksomhet på en tydeligere måte enn man gjør ved å </w:t>
      </w:r>
      <w:r w:rsidR="00913815">
        <w:rPr>
          <w:rFonts w:ascii="Times New Roman" w:hAnsi="Times New Roman" w:cs="Times New Roman"/>
          <w:sz w:val="24"/>
          <w:szCs w:val="24"/>
        </w:rPr>
        <w:t xml:space="preserve">anse slike reiser som en form for forberedende handling etter straffeloven § 131 tredje ledd. </w:t>
      </w:r>
      <w:r w:rsidR="000B50E3">
        <w:rPr>
          <w:rFonts w:ascii="Times New Roman" w:hAnsi="Times New Roman" w:cs="Times New Roman"/>
          <w:sz w:val="24"/>
          <w:szCs w:val="24"/>
        </w:rPr>
        <w:t xml:space="preserve">Dette er </w:t>
      </w:r>
      <w:r w:rsidR="00A14514">
        <w:rPr>
          <w:rFonts w:ascii="Times New Roman" w:hAnsi="Times New Roman" w:cs="Times New Roman"/>
          <w:sz w:val="24"/>
          <w:szCs w:val="24"/>
        </w:rPr>
        <w:t xml:space="preserve">best </w:t>
      </w:r>
      <w:r w:rsidR="000B50E3">
        <w:rPr>
          <w:rFonts w:ascii="Times New Roman" w:hAnsi="Times New Roman" w:cs="Times New Roman"/>
          <w:sz w:val="24"/>
          <w:szCs w:val="24"/>
        </w:rPr>
        <w:t xml:space="preserve">i samsvar med det lovgivningspolitiske syn </w:t>
      </w:r>
      <w:r w:rsidR="00A14514">
        <w:rPr>
          <w:rFonts w:ascii="Times New Roman" w:hAnsi="Times New Roman" w:cs="Times New Roman"/>
          <w:sz w:val="24"/>
          <w:szCs w:val="24"/>
        </w:rPr>
        <w:t xml:space="preserve">på valget mellom eget straffebud og passiv transformasjon ved gjennomføring av </w:t>
      </w:r>
      <w:r w:rsidR="000B50E3">
        <w:rPr>
          <w:rFonts w:ascii="Times New Roman" w:hAnsi="Times New Roman" w:cs="Times New Roman"/>
          <w:sz w:val="24"/>
          <w:szCs w:val="24"/>
        </w:rPr>
        <w:t>folkerettslige forpliktelser</w:t>
      </w:r>
      <w:r w:rsidR="00A14514">
        <w:rPr>
          <w:rFonts w:ascii="Times New Roman" w:hAnsi="Times New Roman" w:cs="Times New Roman"/>
          <w:sz w:val="24"/>
          <w:szCs w:val="24"/>
        </w:rPr>
        <w:t xml:space="preserve"> til kriminalisering, som blant annet kom til uttrykk i Ot.prp. nr. 8 (</w:t>
      </w:r>
      <w:r w:rsidR="00E7373C">
        <w:rPr>
          <w:rFonts w:ascii="Times New Roman" w:hAnsi="Times New Roman" w:cs="Times New Roman"/>
          <w:sz w:val="24"/>
          <w:szCs w:val="24"/>
        </w:rPr>
        <w:t>2007-2008) punkt 3.4 side 29</w:t>
      </w:r>
      <w:r w:rsidR="00E7373C">
        <w:rPr>
          <w:rFonts w:ascii="Times New Roman" w:hAnsi="Times New Roman" w:cs="Times New Roman"/>
          <w:sz w:val="24"/>
          <w:szCs w:val="24"/>
        </w:rPr>
        <w:noBreakHyphen/>
        <w:t>31, og som ligger til grunn for utformingen av reglene i straffeloven kapittel 18.</w:t>
      </w:r>
    </w:p>
    <w:p w:rsidR="00C95A29" w:rsidRDefault="00C95A29" w:rsidP="00C95A29">
      <w:pPr>
        <w:spacing w:after="0" w:line="288" w:lineRule="auto"/>
        <w:rPr>
          <w:rFonts w:ascii="Times New Roman" w:hAnsi="Times New Roman" w:cs="Times New Roman"/>
          <w:sz w:val="24"/>
          <w:szCs w:val="24"/>
        </w:rPr>
      </w:pPr>
    </w:p>
    <w:p w:rsidR="00C95A29" w:rsidRDefault="00C95A29" w:rsidP="00C95A2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Fagutvalget </w:t>
      </w:r>
      <w:r w:rsidR="00F051A2">
        <w:rPr>
          <w:rFonts w:ascii="Times New Roman" w:hAnsi="Times New Roman" w:cs="Times New Roman"/>
          <w:sz w:val="24"/>
          <w:szCs w:val="24"/>
        </w:rPr>
        <w:t xml:space="preserve">finner </w:t>
      </w:r>
      <w:r>
        <w:rPr>
          <w:rFonts w:ascii="Times New Roman" w:hAnsi="Times New Roman" w:cs="Times New Roman"/>
          <w:sz w:val="24"/>
          <w:szCs w:val="24"/>
        </w:rPr>
        <w:t>det naturlig at bestemmelsen begrenses til å ramme reiser til utlandet.</w:t>
      </w:r>
    </w:p>
    <w:p w:rsidR="00C95A29" w:rsidRDefault="00C95A29" w:rsidP="00C95A29">
      <w:pPr>
        <w:spacing w:after="0" w:line="288" w:lineRule="auto"/>
        <w:rPr>
          <w:rFonts w:ascii="Times New Roman" w:hAnsi="Times New Roman" w:cs="Times New Roman"/>
          <w:sz w:val="24"/>
          <w:szCs w:val="24"/>
        </w:rPr>
      </w:pPr>
    </w:p>
    <w:p w:rsidR="0086356E" w:rsidRDefault="00C95A29" w:rsidP="00C95A2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Resolusjon 2178 og Rigaprotokollen artikkel 4 tar sikte på reiser ut av landet. Fagutvalget er enig med departementet i at det ikke er grunn til å begrense forbudet slik at det ikke gjelder reiser inn i landet vedkommende er borger av eller bosatt i. </w:t>
      </w:r>
      <w:r w:rsidR="0086356E">
        <w:rPr>
          <w:rFonts w:ascii="Times New Roman" w:hAnsi="Times New Roman" w:cs="Times New Roman"/>
          <w:sz w:val="24"/>
          <w:szCs w:val="24"/>
        </w:rPr>
        <w:t>Som påpekt i høringsnotatet punkt 2.6.5.2.2 side 25</w:t>
      </w:r>
      <w:r w:rsidR="003B0BB2">
        <w:rPr>
          <w:rFonts w:ascii="Times New Roman" w:hAnsi="Times New Roman" w:cs="Times New Roman"/>
          <w:sz w:val="24"/>
          <w:szCs w:val="24"/>
        </w:rPr>
        <w:t>,</w:t>
      </w:r>
      <w:r w:rsidR="0086356E">
        <w:rPr>
          <w:rFonts w:ascii="Times New Roman" w:hAnsi="Times New Roman" w:cs="Times New Roman"/>
          <w:sz w:val="24"/>
          <w:szCs w:val="24"/>
        </w:rPr>
        <w:t xml:space="preserve"> vil en slik begrensning kunne føre til urimelige resultater i tilfeller hvor en norsk statsborger foretar terrorrelaterte reiser </w:t>
      </w:r>
      <w:r w:rsidR="00F051A2">
        <w:rPr>
          <w:rFonts w:ascii="Times New Roman" w:hAnsi="Times New Roman" w:cs="Times New Roman"/>
          <w:sz w:val="24"/>
          <w:szCs w:val="24"/>
        </w:rPr>
        <w:t xml:space="preserve">sammen </w:t>
      </w:r>
      <w:r w:rsidR="0086356E">
        <w:rPr>
          <w:rFonts w:ascii="Times New Roman" w:hAnsi="Times New Roman" w:cs="Times New Roman"/>
          <w:sz w:val="24"/>
          <w:szCs w:val="24"/>
        </w:rPr>
        <w:t xml:space="preserve">med en statsborger fra et annet land. </w:t>
      </w:r>
    </w:p>
    <w:p w:rsidR="0086356E" w:rsidRDefault="0086356E" w:rsidP="00C95A29">
      <w:pPr>
        <w:spacing w:after="0" w:line="288" w:lineRule="auto"/>
        <w:rPr>
          <w:rFonts w:ascii="Times New Roman" w:hAnsi="Times New Roman" w:cs="Times New Roman"/>
          <w:sz w:val="24"/>
          <w:szCs w:val="24"/>
        </w:rPr>
      </w:pPr>
    </w:p>
    <w:p w:rsidR="00D177C6" w:rsidRDefault="00A6096B" w:rsidP="00D177C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Med hensyn til kriminaliseringen av forsøk på reiser med terrorformål, </w:t>
      </w:r>
      <w:r w:rsidR="00D177C6">
        <w:rPr>
          <w:rFonts w:ascii="Times New Roman" w:hAnsi="Times New Roman" w:cs="Times New Roman"/>
          <w:sz w:val="24"/>
          <w:szCs w:val="24"/>
        </w:rPr>
        <w:t xml:space="preserve">finner </w:t>
      </w:r>
      <w:r>
        <w:rPr>
          <w:rFonts w:ascii="Times New Roman" w:hAnsi="Times New Roman" w:cs="Times New Roman"/>
          <w:sz w:val="24"/>
          <w:szCs w:val="24"/>
        </w:rPr>
        <w:t xml:space="preserve">Fagutvalget </w:t>
      </w:r>
      <w:r w:rsidR="00D177C6">
        <w:rPr>
          <w:rFonts w:ascii="Times New Roman" w:hAnsi="Times New Roman" w:cs="Times New Roman"/>
          <w:sz w:val="24"/>
          <w:szCs w:val="24"/>
        </w:rPr>
        <w:t xml:space="preserve">at de beste grunner taler for </w:t>
      </w:r>
      <w:r>
        <w:rPr>
          <w:rFonts w:ascii="Times New Roman" w:hAnsi="Times New Roman" w:cs="Times New Roman"/>
          <w:sz w:val="24"/>
          <w:szCs w:val="24"/>
        </w:rPr>
        <w:t xml:space="preserve">å bygge på det alminnelige forsøksansvaret i straffeloven § 16. Det vises til høringsnotatet side 24. </w:t>
      </w:r>
    </w:p>
    <w:p w:rsidR="00D177C6" w:rsidRDefault="00D177C6" w:rsidP="00D177C6">
      <w:pPr>
        <w:spacing w:after="0" w:line="288" w:lineRule="auto"/>
        <w:rPr>
          <w:rFonts w:ascii="Times New Roman" w:hAnsi="Times New Roman" w:cs="Times New Roman"/>
          <w:sz w:val="24"/>
          <w:szCs w:val="24"/>
        </w:rPr>
      </w:pPr>
    </w:p>
    <w:p w:rsidR="00C95A29" w:rsidRDefault="00D177C6" w:rsidP="00D177C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Utvalget har også </w:t>
      </w:r>
      <w:r w:rsidR="00C95A29">
        <w:rPr>
          <w:rFonts w:ascii="Times New Roman" w:hAnsi="Times New Roman" w:cs="Times New Roman"/>
          <w:sz w:val="24"/>
          <w:szCs w:val="24"/>
        </w:rPr>
        <w:t xml:space="preserve">en viss preferanse for at skyldkravet bør </w:t>
      </w:r>
      <w:r>
        <w:rPr>
          <w:rFonts w:ascii="Times New Roman" w:hAnsi="Times New Roman" w:cs="Times New Roman"/>
          <w:sz w:val="24"/>
          <w:szCs w:val="24"/>
        </w:rPr>
        <w:t xml:space="preserve">være forsett og viser til departementets uttalelse i </w:t>
      </w:r>
      <w:r w:rsidR="00F051A2">
        <w:rPr>
          <w:rFonts w:ascii="Times New Roman" w:hAnsi="Times New Roman" w:cs="Times New Roman"/>
          <w:sz w:val="24"/>
          <w:szCs w:val="24"/>
        </w:rPr>
        <w:t>høringsnotatet punkt 2.6.5.2.3</w:t>
      </w:r>
      <w:r>
        <w:rPr>
          <w:rFonts w:ascii="Times New Roman" w:hAnsi="Times New Roman" w:cs="Times New Roman"/>
          <w:sz w:val="24"/>
          <w:szCs w:val="24"/>
        </w:rPr>
        <w:t xml:space="preserve"> </w:t>
      </w:r>
      <w:r w:rsidR="00F051A2">
        <w:rPr>
          <w:rFonts w:ascii="Times New Roman" w:hAnsi="Times New Roman" w:cs="Times New Roman"/>
          <w:sz w:val="24"/>
          <w:szCs w:val="24"/>
        </w:rPr>
        <w:t xml:space="preserve">side 25-26. </w:t>
      </w:r>
      <w:r>
        <w:rPr>
          <w:rFonts w:ascii="Times New Roman" w:hAnsi="Times New Roman" w:cs="Times New Roman"/>
          <w:sz w:val="24"/>
          <w:szCs w:val="24"/>
        </w:rPr>
        <w:t xml:space="preserve">Spørsmålet om det bør kreves terrorhensikt, eller om det er tilstrekkelig med forsett med hensyn til formålet med </w:t>
      </w:r>
      <w:r>
        <w:rPr>
          <w:rFonts w:ascii="Times New Roman" w:hAnsi="Times New Roman" w:cs="Times New Roman"/>
          <w:sz w:val="24"/>
          <w:szCs w:val="24"/>
        </w:rPr>
        <w:lastRenderedPageBreak/>
        <w:t xml:space="preserve">reisen, vil </w:t>
      </w:r>
      <w:r w:rsidR="00A66B74">
        <w:rPr>
          <w:rFonts w:ascii="Times New Roman" w:hAnsi="Times New Roman" w:cs="Times New Roman"/>
          <w:sz w:val="24"/>
          <w:szCs w:val="24"/>
        </w:rPr>
        <w:t xml:space="preserve">formodentlig sjelden </w:t>
      </w:r>
      <w:r>
        <w:rPr>
          <w:rFonts w:ascii="Times New Roman" w:hAnsi="Times New Roman" w:cs="Times New Roman"/>
          <w:sz w:val="24"/>
          <w:szCs w:val="24"/>
        </w:rPr>
        <w:t xml:space="preserve">ha betydning i praksis, men det kan ha bevismessige fordeler å nøye seg med forsett i tilfeller hvor det kan være </w:t>
      </w:r>
      <w:r w:rsidR="00B5365A">
        <w:rPr>
          <w:rFonts w:ascii="Times New Roman" w:hAnsi="Times New Roman" w:cs="Times New Roman"/>
          <w:sz w:val="24"/>
          <w:szCs w:val="24"/>
        </w:rPr>
        <w:t xml:space="preserve">usikkert om </w:t>
      </w:r>
      <w:r w:rsidR="00A66B74">
        <w:rPr>
          <w:rFonts w:ascii="Times New Roman" w:hAnsi="Times New Roman" w:cs="Times New Roman"/>
          <w:sz w:val="24"/>
          <w:szCs w:val="24"/>
        </w:rPr>
        <w:t xml:space="preserve">gjerningsmannen har </w:t>
      </w:r>
      <w:r w:rsidR="00B5365A">
        <w:rPr>
          <w:rFonts w:ascii="Times New Roman" w:hAnsi="Times New Roman" w:cs="Times New Roman"/>
          <w:sz w:val="24"/>
          <w:szCs w:val="24"/>
        </w:rPr>
        <w:t xml:space="preserve">truffet en endelig beslutning når </w:t>
      </w:r>
      <w:r w:rsidR="00A66B74">
        <w:rPr>
          <w:rFonts w:ascii="Times New Roman" w:hAnsi="Times New Roman" w:cs="Times New Roman"/>
          <w:sz w:val="24"/>
          <w:szCs w:val="24"/>
        </w:rPr>
        <w:t>reisen påbegynnes. Også reiser som foretas med sannsynlighetsforsett om å begå eller medvirke til en terror-</w:t>
      </w:r>
      <w:r w:rsidR="00B5365A">
        <w:rPr>
          <w:rFonts w:ascii="Times New Roman" w:hAnsi="Times New Roman" w:cs="Times New Roman"/>
          <w:sz w:val="24"/>
          <w:szCs w:val="24"/>
        </w:rPr>
        <w:t xml:space="preserve"> </w:t>
      </w:r>
      <w:r w:rsidR="00A66B74">
        <w:rPr>
          <w:rFonts w:ascii="Times New Roman" w:hAnsi="Times New Roman" w:cs="Times New Roman"/>
          <w:sz w:val="24"/>
          <w:szCs w:val="24"/>
        </w:rPr>
        <w:t xml:space="preserve">eller terrorrelatert handling, er straffverdige. </w:t>
      </w:r>
    </w:p>
    <w:p w:rsidR="00B5365A" w:rsidRDefault="00B5365A" w:rsidP="00D177C6">
      <w:pPr>
        <w:spacing w:after="0" w:line="288" w:lineRule="auto"/>
        <w:rPr>
          <w:rFonts w:ascii="Times New Roman" w:hAnsi="Times New Roman" w:cs="Times New Roman"/>
          <w:sz w:val="24"/>
          <w:szCs w:val="24"/>
        </w:rPr>
      </w:pPr>
    </w:p>
    <w:p w:rsidR="00B5365A" w:rsidRDefault="00B5365A" w:rsidP="00B5365A">
      <w:pPr>
        <w:spacing w:line="240" w:lineRule="auto"/>
        <w:rPr>
          <w:rFonts w:ascii="Times New Roman" w:hAnsi="Times New Roman" w:cs="Times New Roman"/>
          <w:b/>
          <w:sz w:val="24"/>
          <w:szCs w:val="24"/>
        </w:rPr>
      </w:pPr>
      <w:r>
        <w:rPr>
          <w:rFonts w:ascii="Times New Roman" w:hAnsi="Times New Roman" w:cs="Times New Roman"/>
          <w:b/>
          <w:sz w:val="24"/>
          <w:szCs w:val="24"/>
        </w:rPr>
        <w:t>2.7 Finansiering, organisering og tilrettelegging av reiser med terrorformål</w:t>
      </w:r>
      <w:r w:rsidR="005B4249">
        <w:rPr>
          <w:rFonts w:ascii="Times New Roman" w:hAnsi="Times New Roman" w:cs="Times New Roman"/>
          <w:b/>
          <w:sz w:val="24"/>
          <w:szCs w:val="24"/>
        </w:rPr>
        <w:br/>
      </w:r>
    </w:p>
    <w:p w:rsidR="00B5365A" w:rsidRDefault="00B5365A" w:rsidP="00B5365A">
      <w:pPr>
        <w:spacing w:after="0" w:line="288" w:lineRule="auto"/>
        <w:rPr>
          <w:rFonts w:ascii="Times New Roman" w:hAnsi="Times New Roman" w:cs="Times New Roman"/>
          <w:sz w:val="24"/>
          <w:szCs w:val="24"/>
        </w:rPr>
      </w:pPr>
      <w:r>
        <w:rPr>
          <w:rFonts w:ascii="Times New Roman" w:hAnsi="Times New Roman" w:cs="Times New Roman"/>
          <w:sz w:val="24"/>
          <w:szCs w:val="24"/>
        </w:rPr>
        <w:t>Fagutvalget er enig med d</w:t>
      </w:r>
      <w:r w:rsidRPr="00B5365A">
        <w:rPr>
          <w:rFonts w:ascii="Times New Roman" w:hAnsi="Times New Roman" w:cs="Times New Roman"/>
          <w:sz w:val="24"/>
          <w:szCs w:val="24"/>
        </w:rPr>
        <w:t>epartementet</w:t>
      </w:r>
      <w:r>
        <w:rPr>
          <w:rFonts w:ascii="Times New Roman" w:hAnsi="Times New Roman" w:cs="Times New Roman"/>
          <w:sz w:val="24"/>
          <w:szCs w:val="24"/>
        </w:rPr>
        <w:t xml:space="preserve"> i at det </w:t>
      </w:r>
      <w:r w:rsidRPr="00B5365A">
        <w:rPr>
          <w:rFonts w:ascii="Times New Roman" w:hAnsi="Times New Roman" w:cs="Times New Roman"/>
          <w:sz w:val="24"/>
          <w:szCs w:val="24"/>
        </w:rPr>
        <w:t xml:space="preserve">antakelig ikke er nødvendig med lovendringer for å gjennomføre </w:t>
      </w:r>
      <w:r>
        <w:rPr>
          <w:rFonts w:ascii="Times New Roman" w:hAnsi="Times New Roman" w:cs="Times New Roman"/>
          <w:sz w:val="24"/>
          <w:szCs w:val="24"/>
        </w:rPr>
        <w:t xml:space="preserve">Resolusjon 2178 </w:t>
      </w:r>
      <w:r w:rsidRPr="00B5365A">
        <w:rPr>
          <w:rFonts w:ascii="Times New Roman" w:hAnsi="Times New Roman" w:cs="Times New Roman"/>
          <w:sz w:val="24"/>
          <w:szCs w:val="24"/>
        </w:rPr>
        <w:t>og Rigaprotokollen artikkel 5 og 6. Når reiser med terrorformål kriminaliseres, vil medvirkningsansvaret omfatte</w:t>
      </w:r>
      <w:r>
        <w:rPr>
          <w:rFonts w:ascii="Times New Roman" w:hAnsi="Times New Roman" w:cs="Times New Roman"/>
          <w:sz w:val="24"/>
          <w:szCs w:val="24"/>
        </w:rPr>
        <w:t xml:space="preserve"> f</w:t>
      </w:r>
      <w:r w:rsidRPr="00B5365A">
        <w:rPr>
          <w:rFonts w:ascii="Times New Roman" w:hAnsi="Times New Roman" w:cs="Times New Roman"/>
          <w:sz w:val="24"/>
          <w:szCs w:val="24"/>
        </w:rPr>
        <w:t xml:space="preserve">inansiering og annen bistand. </w:t>
      </w:r>
      <w:r>
        <w:rPr>
          <w:rFonts w:ascii="Times New Roman" w:hAnsi="Times New Roman" w:cs="Times New Roman"/>
          <w:sz w:val="24"/>
          <w:szCs w:val="24"/>
        </w:rPr>
        <w:t xml:space="preserve">Det vises til høringsnotatet punkt 2.7.5 side 30. </w:t>
      </w:r>
    </w:p>
    <w:p w:rsidR="00B5365A" w:rsidRDefault="00B5365A" w:rsidP="00B5365A">
      <w:pPr>
        <w:spacing w:after="0" w:line="288" w:lineRule="auto"/>
        <w:rPr>
          <w:rFonts w:ascii="Times New Roman" w:hAnsi="Times New Roman" w:cs="Times New Roman"/>
          <w:sz w:val="24"/>
          <w:szCs w:val="24"/>
        </w:rPr>
      </w:pPr>
    </w:p>
    <w:p w:rsidR="00872084" w:rsidRPr="00B5365A" w:rsidRDefault="00B5365A" w:rsidP="00B5365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Derimot vil </w:t>
      </w:r>
      <w:r w:rsidRPr="00B5365A">
        <w:rPr>
          <w:rFonts w:ascii="Times New Roman" w:hAnsi="Times New Roman" w:cs="Times New Roman"/>
          <w:sz w:val="24"/>
          <w:szCs w:val="24"/>
        </w:rPr>
        <w:t xml:space="preserve">FATFs </w:t>
      </w:r>
      <w:r>
        <w:rPr>
          <w:rFonts w:ascii="Times New Roman" w:hAnsi="Times New Roman" w:cs="Times New Roman"/>
          <w:sz w:val="24"/>
          <w:szCs w:val="24"/>
        </w:rPr>
        <w:t>(Financial Action Task Force) rekomma</w:t>
      </w:r>
      <w:r w:rsidRPr="00B5365A">
        <w:rPr>
          <w:rFonts w:ascii="Times New Roman" w:hAnsi="Times New Roman" w:cs="Times New Roman"/>
          <w:sz w:val="24"/>
          <w:szCs w:val="24"/>
        </w:rPr>
        <w:t>ndasjon nr. 5 neppe bli oppfylt uten en tilføyelse i straffeloven § 135. Tolkningsnotatene til rekommandasjonen fastsetter at finansiering av reiser med terrorformål skal regnes som terrorfinansiering, og videre at straffansvaret for terrorfinansiering ikke bare («solely») kan</w:t>
      </w:r>
      <w:r w:rsidR="00872084">
        <w:rPr>
          <w:rFonts w:ascii="Times New Roman" w:hAnsi="Times New Roman" w:cs="Times New Roman"/>
          <w:sz w:val="24"/>
          <w:szCs w:val="24"/>
        </w:rPr>
        <w:t xml:space="preserve"> bygge på medvirkningsansvaret. </w:t>
      </w:r>
    </w:p>
    <w:p w:rsidR="00872084" w:rsidRDefault="00872084" w:rsidP="00B5365A">
      <w:pPr>
        <w:spacing w:after="0" w:line="288" w:lineRule="auto"/>
        <w:rPr>
          <w:rFonts w:ascii="Times New Roman" w:hAnsi="Times New Roman" w:cs="Times New Roman"/>
          <w:sz w:val="24"/>
          <w:szCs w:val="24"/>
        </w:rPr>
      </w:pPr>
    </w:p>
    <w:p w:rsidR="00B5365A" w:rsidRPr="00B5365A" w:rsidRDefault="00B5365A" w:rsidP="00B5365A">
      <w:pPr>
        <w:spacing w:after="0" w:line="288" w:lineRule="auto"/>
        <w:rPr>
          <w:rFonts w:ascii="Times New Roman" w:hAnsi="Times New Roman" w:cs="Times New Roman"/>
          <w:sz w:val="24"/>
          <w:szCs w:val="24"/>
        </w:rPr>
      </w:pPr>
      <w:r w:rsidRPr="00B5365A">
        <w:rPr>
          <w:rFonts w:ascii="Times New Roman" w:hAnsi="Times New Roman" w:cs="Times New Roman"/>
          <w:sz w:val="24"/>
          <w:szCs w:val="24"/>
        </w:rPr>
        <w:t>Departementet har utformet to alternative forslag</w:t>
      </w:r>
      <w:r w:rsidR="00872084">
        <w:rPr>
          <w:rFonts w:ascii="Times New Roman" w:hAnsi="Times New Roman" w:cs="Times New Roman"/>
          <w:sz w:val="24"/>
          <w:szCs w:val="24"/>
        </w:rPr>
        <w:t xml:space="preserve">. Som konsekvens av sitt syn på valget av alternativ for </w:t>
      </w:r>
      <w:r w:rsidRPr="00B5365A">
        <w:rPr>
          <w:rFonts w:ascii="Times New Roman" w:hAnsi="Times New Roman" w:cs="Times New Roman"/>
          <w:sz w:val="24"/>
          <w:szCs w:val="24"/>
        </w:rPr>
        <w:t>kriminalisering av reiser med terrorformål</w:t>
      </w:r>
      <w:r w:rsidR="00872084">
        <w:rPr>
          <w:rFonts w:ascii="Times New Roman" w:hAnsi="Times New Roman" w:cs="Times New Roman"/>
          <w:sz w:val="24"/>
          <w:szCs w:val="24"/>
        </w:rPr>
        <w:t>, anbefaler Fagutvalget</w:t>
      </w:r>
      <w:r w:rsidR="002A0E0D">
        <w:rPr>
          <w:rFonts w:ascii="Times New Roman" w:hAnsi="Times New Roman" w:cs="Times New Roman"/>
          <w:sz w:val="24"/>
          <w:szCs w:val="24"/>
        </w:rPr>
        <w:t xml:space="preserve"> </w:t>
      </w:r>
      <w:r w:rsidR="006E3E33">
        <w:rPr>
          <w:rFonts w:ascii="Times New Roman" w:hAnsi="Times New Roman" w:cs="Times New Roman"/>
          <w:sz w:val="24"/>
          <w:szCs w:val="24"/>
        </w:rPr>
        <w:t>alternativ</w:t>
      </w:r>
      <w:r w:rsidRPr="00B5365A">
        <w:rPr>
          <w:rFonts w:ascii="Times New Roman" w:hAnsi="Times New Roman" w:cs="Times New Roman"/>
          <w:sz w:val="24"/>
          <w:szCs w:val="24"/>
        </w:rPr>
        <w:t xml:space="preserve"> 2</w:t>
      </w:r>
      <w:r w:rsidR="002A0E0D">
        <w:rPr>
          <w:rFonts w:ascii="Times New Roman" w:hAnsi="Times New Roman" w:cs="Times New Roman"/>
          <w:sz w:val="24"/>
          <w:szCs w:val="24"/>
        </w:rPr>
        <w:t xml:space="preserve"> om å tilføye </w:t>
      </w:r>
      <w:r w:rsidR="006E3E33" w:rsidRPr="00B5365A">
        <w:rPr>
          <w:rFonts w:ascii="Times New Roman" w:hAnsi="Times New Roman" w:cs="Times New Roman"/>
          <w:sz w:val="24"/>
          <w:szCs w:val="24"/>
        </w:rPr>
        <w:t>henvisning</w:t>
      </w:r>
      <w:r w:rsidR="006E3E33">
        <w:rPr>
          <w:rFonts w:ascii="Times New Roman" w:hAnsi="Times New Roman" w:cs="Times New Roman"/>
          <w:sz w:val="24"/>
          <w:szCs w:val="24"/>
        </w:rPr>
        <w:t xml:space="preserve">er </w:t>
      </w:r>
      <w:r w:rsidR="006E3E33" w:rsidRPr="00B5365A">
        <w:rPr>
          <w:rFonts w:ascii="Times New Roman" w:hAnsi="Times New Roman" w:cs="Times New Roman"/>
          <w:sz w:val="24"/>
          <w:szCs w:val="24"/>
        </w:rPr>
        <w:t>i</w:t>
      </w:r>
      <w:r w:rsidRPr="00B5365A">
        <w:rPr>
          <w:rFonts w:ascii="Times New Roman" w:hAnsi="Times New Roman" w:cs="Times New Roman"/>
          <w:sz w:val="24"/>
          <w:szCs w:val="24"/>
        </w:rPr>
        <w:t xml:space="preserve"> </w:t>
      </w:r>
      <w:r w:rsidR="002A0E0D">
        <w:rPr>
          <w:rFonts w:ascii="Times New Roman" w:hAnsi="Times New Roman" w:cs="Times New Roman"/>
          <w:sz w:val="24"/>
          <w:szCs w:val="24"/>
        </w:rPr>
        <w:t xml:space="preserve">straffeloven </w:t>
      </w:r>
      <w:r w:rsidRPr="00B5365A">
        <w:rPr>
          <w:rFonts w:ascii="Times New Roman" w:hAnsi="Times New Roman" w:cs="Times New Roman"/>
          <w:sz w:val="24"/>
          <w:szCs w:val="24"/>
        </w:rPr>
        <w:t>§ 135 første ledd bokstav a og b til det nye straffebudet i § 136 b</w:t>
      </w:r>
      <w:r w:rsidR="00F051A2">
        <w:rPr>
          <w:rFonts w:ascii="Times New Roman" w:hAnsi="Times New Roman" w:cs="Times New Roman"/>
          <w:sz w:val="24"/>
          <w:szCs w:val="24"/>
        </w:rPr>
        <w:t>.</w:t>
      </w:r>
    </w:p>
    <w:p w:rsidR="00A66B74" w:rsidRDefault="00A66B74" w:rsidP="00D177C6">
      <w:pPr>
        <w:spacing w:after="0" w:line="288" w:lineRule="auto"/>
        <w:rPr>
          <w:rFonts w:ascii="Times New Roman" w:hAnsi="Times New Roman" w:cs="Times New Roman"/>
          <w:sz w:val="24"/>
          <w:szCs w:val="24"/>
        </w:rPr>
      </w:pPr>
    </w:p>
    <w:p w:rsidR="00EB78E9" w:rsidRPr="00EB78E9" w:rsidRDefault="00EB78E9" w:rsidP="00EB78E9">
      <w:pPr>
        <w:spacing w:after="0" w:line="288" w:lineRule="auto"/>
        <w:rPr>
          <w:rFonts w:ascii="Times New Roman" w:hAnsi="Times New Roman" w:cs="Times New Roman"/>
          <w:b/>
          <w:sz w:val="24"/>
          <w:szCs w:val="24"/>
        </w:rPr>
      </w:pPr>
      <w:r w:rsidRPr="00EB78E9">
        <w:rPr>
          <w:rFonts w:ascii="Times New Roman" w:hAnsi="Times New Roman" w:cs="Times New Roman"/>
          <w:b/>
          <w:sz w:val="24"/>
          <w:szCs w:val="24"/>
        </w:rPr>
        <w:t>2.8 Behovet for straffeprosessuelle endringer</w:t>
      </w:r>
    </w:p>
    <w:p w:rsidR="00EB78E9" w:rsidRPr="00EB78E9" w:rsidRDefault="00EB78E9" w:rsidP="00EB78E9">
      <w:pPr>
        <w:spacing w:after="0" w:line="288" w:lineRule="auto"/>
        <w:rPr>
          <w:rFonts w:ascii="Times New Roman" w:hAnsi="Times New Roman" w:cs="Times New Roman"/>
          <w:sz w:val="24"/>
          <w:szCs w:val="24"/>
        </w:rPr>
      </w:pPr>
    </w:p>
    <w:p w:rsidR="00A66B74" w:rsidRDefault="00EB78E9" w:rsidP="00EB78E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Fagutvalget er enig med </w:t>
      </w:r>
      <w:r w:rsidRPr="00EB78E9">
        <w:rPr>
          <w:rFonts w:ascii="Times New Roman" w:hAnsi="Times New Roman" w:cs="Times New Roman"/>
          <w:sz w:val="24"/>
          <w:szCs w:val="24"/>
        </w:rPr>
        <w:t>departementet</w:t>
      </w:r>
      <w:r>
        <w:rPr>
          <w:rFonts w:ascii="Times New Roman" w:hAnsi="Times New Roman" w:cs="Times New Roman"/>
          <w:sz w:val="24"/>
          <w:szCs w:val="24"/>
        </w:rPr>
        <w:t xml:space="preserve"> i </w:t>
      </w:r>
      <w:r w:rsidRPr="00EB78E9">
        <w:rPr>
          <w:rFonts w:ascii="Times New Roman" w:hAnsi="Times New Roman" w:cs="Times New Roman"/>
          <w:sz w:val="24"/>
          <w:szCs w:val="24"/>
        </w:rPr>
        <w:t xml:space="preserve">at adgangen til å benytte forskjellige skjulte tvangsmidler i etterforskningen </w:t>
      </w:r>
      <w:r>
        <w:rPr>
          <w:rFonts w:ascii="Times New Roman" w:hAnsi="Times New Roman" w:cs="Times New Roman"/>
          <w:sz w:val="24"/>
          <w:szCs w:val="24"/>
        </w:rPr>
        <w:t xml:space="preserve">bør </w:t>
      </w:r>
      <w:r w:rsidRPr="00EB78E9">
        <w:rPr>
          <w:rFonts w:ascii="Times New Roman" w:hAnsi="Times New Roman" w:cs="Times New Roman"/>
          <w:sz w:val="24"/>
          <w:szCs w:val="24"/>
        </w:rPr>
        <w:t>utvides til også å omfatte reiser med terrorformål, selv om straffeloven § 136 b får en straffera</w:t>
      </w:r>
      <w:r>
        <w:rPr>
          <w:rFonts w:ascii="Times New Roman" w:hAnsi="Times New Roman" w:cs="Times New Roman"/>
          <w:sz w:val="24"/>
          <w:szCs w:val="24"/>
        </w:rPr>
        <w:t xml:space="preserve">mme på fengsel inntil 6 år. </w:t>
      </w:r>
      <w:r w:rsidRPr="00EB78E9">
        <w:rPr>
          <w:rFonts w:ascii="Times New Roman" w:hAnsi="Times New Roman" w:cs="Times New Roman"/>
          <w:sz w:val="24"/>
          <w:szCs w:val="24"/>
        </w:rPr>
        <w:t xml:space="preserve"> Det </w:t>
      </w:r>
      <w:r>
        <w:rPr>
          <w:rFonts w:ascii="Times New Roman" w:hAnsi="Times New Roman" w:cs="Times New Roman"/>
          <w:sz w:val="24"/>
          <w:szCs w:val="24"/>
        </w:rPr>
        <w:t>vises til hørings</w:t>
      </w:r>
      <w:r w:rsidRPr="00EB78E9">
        <w:rPr>
          <w:rFonts w:ascii="Times New Roman" w:hAnsi="Times New Roman" w:cs="Times New Roman"/>
          <w:sz w:val="24"/>
          <w:szCs w:val="24"/>
        </w:rPr>
        <w:t xml:space="preserve">notatet </w:t>
      </w:r>
      <w:r>
        <w:rPr>
          <w:rFonts w:ascii="Times New Roman" w:hAnsi="Times New Roman" w:cs="Times New Roman"/>
          <w:sz w:val="24"/>
          <w:szCs w:val="24"/>
        </w:rPr>
        <w:t xml:space="preserve">punkt 2.8.2 side 32. </w:t>
      </w:r>
      <w:r w:rsidR="005B4249">
        <w:rPr>
          <w:rFonts w:ascii="Times New Roman" w:hAnsi="Times New Roman" w:cs="Times New Roman"/>
          <w:sz w:val="24"/>
          <w:szCs w:val="24"/>
        </w:rPr>
        <w:br/>
      </w:r>
    </w:p>
    <w:p w:rsidR="00EB78E9" w:rsidRPr="005B4249" w:rsidRDefault="00EB78E9" w:rsidP="00EB78E9">
      <w:pPr>
        <w:spacing w:line="240" w:lineRule="auto"/>
        <w:rPr>
          <w:rFonts w:ascii="Times New Roman" w:hAnsi="Times New Roman" w:cs="Times New Roman"/>
          <w:b/>
          <w:sz w:val="26"/>
          <w:szCs w:val="26"/>
        </w:rPr>
      </w:pPr>
      <w:r>
        <w:rPr>
          <w:rFonts w:ascii="Times New Roman" w:hAnsi="Times New Roman" w:cs="Times New Roman"/>
          <w:sz w:val="24"/>
          <w:szCs w:val="24"/>
        </w:rPr>
        <w:br/>
      </w:r>
      <w:r w:rsidRPr="005B4249">
        <w:rPr>
          <w:rFonts w:ascii="Times New Roman" w:hAnsi="Times New Roman" w:cs="Times New Roman"/>
          <w:b/>
          <w:sz w:val="26"/>
          <w:szCs w:val="26"/>
        </w:rPr>
        <w:t>3. Terror mot luftfarten</w:t>
      </w:r>
    </w:p>
    <w:p w:rsidR="00720BD8" w:rsidRDefault="00B21799" w:rsidP="00EB78E9">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Fagutvalget er </w:t>
      </w:r>
      <w:r w:rsidR="007D3598">
        <w:rPr>
          <w:rFonts w:ascii="Times New Roman" w:hAnsi="Times New Roman" w:cs="Times New Roman"/>
          <w:sz w:val="24"/>
          <w:szCs w:val="24"/>
        </w:rPr>
        <w:t xml:space="preserve">enig med departementet i at </w:t>
      </w:r>
      <w:r w:rsidR="007D3598" w:rsidRPr="007D3598">
        <w:rPr>
          <w:rFonts w:ascii="Times New Roman" w:hAnsi="Times New Roman" w:cs="Times New Roman"/>
          <w:sz w:val="24"/>
          <w:szCs w:val="24"/>
        </w:rPr>
        <w:t xml:space="preserve">Norge bør </w:t>
      </w:r>
      <w:r w:rsidR="007D3598">
        <w:rPr>
          <w:rFonts w:ascii="Times New Roman" w:hAnsi="Times New Roman" w:cs="Times New Roman"/>
          <w:sz w:val="24"/>
          <w:szCs w:val="24"/>
        </w:rPr>
        <w:t xml:space="preserve">gjennomføre de lovendringer som er nødvendige for å kunne </w:t>
      </w:r>
      <w:r w:rsidR="007D3598" w:rsidRPr="007D3598">
        <w:rPr>
          <w:rFonts w:ascii="Times New Roman" w:hAnsi="Times New Roman" w:cs="Times New Roman"/>
          <w:sz w:val="24"/>
          <w:szCs w:val="24"/>
        </w:rPr>
        <w:t xml:space="preserve">slutte seg til </w:t>
      </w:r>
      <w:r w:rsidR="00885EB7">
        <w:rPr>
          <w:rFonts w:ascii="Times New Roman" w:hAnsi="Times New Roman" w:cs="Times New Roman"/>
          <w:sz w:val="24"/>
          <w:szCs w:val="24"/>
        </w:rPr>
        <w:t>Beijingk</w:t>
      </w:r>
      <w:r w:rsidR="00885EB7" w:rsidRPr="007D3598">
        <w:rPr>
          <w:rFonts w:ascii="Times New Roman" w:hAnsi="Times New Roman" w:cs="Times New Roman"/>
          <w:sz w:val="24"/>
          <w:szCs w:val="24"/>
        </w:rPr>
        <w:t>onvensjonen</w:t>
      </w:r>
      <w:r w:rsidR="00885EB7">
        <w:rPr>
          <w:rFonts w:ascii="Times New Roman" w:hAnsi="Times New Roman" w:cs="Times New Roman"/>
          <w:sz w:val="24"/>
          <w:szCs w:val="24"/>
        </w:rPr>
        <w:t xml:space="preserve"> 10. september 2010 </w:t>
      </w:r>
      <w:r w:rsidR="00885EB7" w:rsidRPr="007D3598">
        <w:rPr>
          <w:rFonts w:ascii="Times New Roman" w:hAnsi="Times New Roman" w:cs="Times New Roman"/>
          <w:sz w:val="24"/>
          <w:szCs w:val="24"/>
        </w:rPr>
        <w:t xml:space="preserve">og </w:t>
      </w:r>
      <w:r w:rsidR="00885EB7">
        <w:rPr>
          <w:rFonts w:ascii="Times New Roman" w:hAnsi="Times New Roman" w:cs="Times New Roman"/>
          <w:sz w:val="24"/>
          <w:szCs w:val="24"/>
        </w:rPr>
        <w:t>Beijing</w:t>
      </w:r>
      <w:r w:rsidR="00885EB7" w:rsidRPr="007D3598">
        <w:rPr>
          <w:rFonts w:ascii="Times New Roman" w:hAnsi="Times New Roman" w:cs="Times New Roman"/>
          <w:sz w:val="24"/>
          <w:szCs w:val="24"/>
        </w:rPr>
        <w:t>protokollen</w:t>
      </w:r>
      <w:r w:rsidR="00885EB7">
        <w:rPr>
          <w:rFonts w:ascii="Times New Roman" w:hAnsi="Times New Roman" w:cs="Times New Roman"/>
          <w:sz w:val="24"/>
          <w:szCs w:val="24"/>
        </w:rPr>
        <w:t xml:space="preserve">, som er et tillegg til Haagkonvensjonen 1970 om flykapring. Konvensjonen og protokollen inneholder nye </w:t>
      </w:r>
      <w:r w:rsidR="00885EB7" w:rsidRPr="007D3598">
        <w:rPr>
          <w:rFonts w:ascii="Times New Roman" w:hAnsi="Times New Roman" w:cs="Times New Roman"/>
          <w:sz w:val="24"/>
          <w:szCs w:val="24"/>
        </w:rPr>
        <w:t>forpliktelser til kriminalisering for å styrke sikkerheten i sivil luftfar</w:t>
      </w:r>
      <w:r w:rsidR="00885EB7">
        <w:rPr>
          <w:rFonts w:ascii="Times New Roman" w:hAnsi="Times New Roman" w:cs="Times New Roman"/>
          <w:sz w:val="24"/>
          <w:szCs w:val="24"/>
        </w:rPr>
        <w:t>t.</w:t>
      </w:r>
    </w:p>
    <w:p w:rsidR="00720BD8" w:rsidRDefault="00720BD8" w:rsidP="00EB78E9">
      <w:pPr>
        <w:spacing w:after="0" w:line="288" w:lineRule="auto"/>
        <w:rPr>
          <w:rFonts w:ascii="Times New Roman" w:hAnsi="Times New Roman" w:cs="Times New Roman"/>
          <w:sz w:val="24"/>
          <w:szCs w:val="24"/>
        </w:rPr>
      </w:pPr>
    </w:p>
    <w:p w:rsidR="00803C3A" w:rsidRDefault="00720BD8" w:rsidP="00EB78E9">
      <w:pPr>
        <w:spacing w:after="0" w:line="288" w:lineRule="auto"/>
        <w:rPr>
          <w:rFonts w:ascii="Times New Roman" w:hAnsi="Times New Roman" w:cs="Times New Roman"/>
          <w:sz w:val="24"/>
          <w:szCs w:val="24"/>
        </w:rPr>
      </w:pPr>
      <w:r>
        <w:rPr>
          <w:rFonts w:ascii="Times New Roman" w:hAnsi="Times New Roman" w:cs="Times New Roman"/>
          <w:sz w:val="24"/>
          <w:szCs w:val="24"/>
        </w:rPr>
        <w:t>Utvalget kan i det alt vesentlige slutte seg til departementets vurdering av behovet for lovendringer og de konkrete forslagene til gjennomføring.</w:t>
      </w:r>
      <w:r w:rsidR="00D427DF">
        <w:rPr>
          <w:rFonts w:ascii="Times New Roman" w:hAnsi="Times New Roman" w:cs="Times New Roman"/>
          <w:sz w:val="24"/>
          <w:szCs w:val="24"/>
        </w:rPr>
        <w:t xml:space="preserve"> </w:t>
      </w:r>
    </w:p>
    <w:p w:rsidR="00803C3A" w:rsidRDefault="00803C3A" w:rsidP="00EB78E9">
      <w:pPr>
        <w:spacing w:after="0" w:line="288" w:lineRule="auto"/>
        <w:rPr>
          <w:rFonts w:ascii="Times New Roman" w:hAnsi="Times New Roman" w:cs="Times New Roman"/>
          <w:sz w:val="24"/>
          <w:szCs w:val="24"/>
        </w:rPr>
      </w:pPr>
    </w:p>
    <w:p w:rsidR="005B4249" w:rsidRDefault="005B4249" w:rsidP="00AE35A6">
      <w:pPr>
        <w:keepNext/>
        <w:keepLines/>
        <w:widowControl w:val="0"/>
        <w:spacing w:line="240" w:lineRule="auto"/>
        <w:rPr>
          <w:rFonts w:ascii="Times New Roman" w:hAnsi="Times New Roman" w:cs="Times New Roman"/>
          <w:b/>
          <w:sz w:val="24"/>
          <w:szCs w:val="24"/>
        </w:rPr>
      </w:pPr>
      <w:r>
        <w:rPr>
          <w:rFonts w:ascii="Times New Roman" w:hAnsi="Times New Roman" w:cs="Times New Roman"/>
          <w:b/>
          <w:sz w:val="24"/>
          <w:szCs w:val="24"/>
        </w:rPr>
        <w:t>3.1 Ulovlige handlinger mot sikkerheten i sivil luftfart</w:t>
      </w:r>
    </w:p>
    <w:p w:rsidR="003B614B" w:rsidRDefault="00D427DF" w:rsidP="003B614B">
      <w:pPr>
        <w:keepNext/>
        <w:keepLines/>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 fleste </w:t>
      </w:r>
      <w:r w:rsidRPr="00D427DF">
        <w:rPr>
          <w:rFonts w:ascii="Times New Roman" w:hAnsi="Times New Roman" w:cs="Times New Roman"/>
          <w:sz w:val="24"/>
          <w:szCs w:val="24"/>
        </w:rPr>
        <w:t>handlingene som omfattes av de nye bestemmelsene i Beijingkonvensjonen</w:t>
      </w:r>
      <w:r w:rsidR="00803C3A">
        <w:rPr>
          <w:rFonts w:ascii="Times New Roman" w:hAnsi="Times New Roman" w:cs="Times New Roman"/>
          <w:sz w:val="24"/>
          <w:szCs w:val="24"/>
        </w:rPr>
        <w:t>,</w:t>
      </w:r>
      <w:r w:rsidRPr="00D427DF">
        <w:rPr>
          <w:rFonts w:ascii="Times New Roman" w:hAnsi="Times New Roman" w:cs="Times New Roman"/>
          <w:sz w:val="24"/>
          <w:szCs w:val="24"/>
        </w:rPr>
        <w:t xml:space="preserve"> </w:t>
      </w:r>
      <w:r w:rsidR="00803C3A">
        <w:rPr>
          <w:rFonts w:ascii="Times New Roman" w:hAnsi="Times New Roman" w:cs="Times New Roman"/>
          <w:sz w:val="24"/>
          <w:szCs w:val="24"/>
        </w:rPr>
        <w:t xml:space="preserve">vil </w:t>
      </w:r>
      <w:r w:rsidRPr="00D427DF">
        <w:rPr>
          <w:rFonts w:ascii="Times New Roman" w:hAnsi="Times New Roman" w:cs="Times New Roman"/>
          <w:sz w:val="24"/>
          <w:szCs w:val="24"/>
        </w:rPr>
        <w:t xml:space="preserve">rammes av </w:t>
      </w:r>
      <w:r w:rsidR="00803C3A">
        <w:rPr>
          <w:rFonts w:ascii="Times New Roman" w:hAnsi="Times New Roman" w:cs="Times New Roman"/>
          <w:sz w:val="24"/>
          <w:szCs w:val="24"/>
        </w:rPr>
        <w:t xml:space="preserve">straffeloven § 140 eller andre bestemmelser i straffeloven kapittel 18, se høringsnotatet punkt 3.1.2 side 35. </w:t>
      </w:r>
    </w:p>
    <w:p w:rsidR="003B614B" w:rsidRDefault="003B614B" w:rsidP="003B614B">
      <w:pPr>
        <w:keepNext/>
        <w:keepLines/>
        <w:widowControl w:val="0"/>
        <w:spacing w:after="0" w:line="288" w:lineRule="auto"/>
        <w:rPr>
          <w:rFonts w:ascii="Times New Roman" w:hAnsi="Times New Roman" w:cs="Times New Roman"/>
          <w:sz w:val="24"/>
          <w:szCs w:val="24"/>
        </w:rPr>
      </w:pPr>
    </w:p>
    <w:p w:rsidR="005663D5" w:rsidRDefault="006E3E33" w:rsidP="003B614B">
      <w:pPr>
        <w:keepNext/>
        <w:keepLines/>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Fagutvalget</w:t>
      </w:r>
      <w:r w:rsidR="00803C3A">
        <w:rPr>
          <w:rFonts w:ascii="Times New Roman" w:hAnsi="Times New Roman" w:cs="Times New Roman"/>
          <w:sz w:val="24"/>
          <w:szCs w:val="24"/>
        </w:rPr>
        <w:t xml:space="preserve"> er</w:t>
      </w:r>
      <w:r w:rsidR="003B614B">
        <w:rPr>
          <w:rFonts w:ascii="Times New Roman" w:hAnsi="Times New Roman" w:cs="Times New Roman"/>
          <w:sz w:val="24"/>
          <w:szCs w:val="24"/>
        </w:rPr>
        <w:t xml:space="preserve"> likevel e</w:t>
      </w:r>
      <w:r w:rsidR="00803C3A">
        <w:rPr>
          <w:rFonts w:ascii="Times New Roman" w:hAnsi="Times New Roman" w:cs="Times New Roman"/>
          <w:sz w:val="24"/>
          <w:szCs w:val="24"/>
        </w:rPr>
        <w:t xml:space="preserve">nig med departementet i at det er behov for en lovendring for å gjennomføre </w:t>
      </w:r>
      <w:r w:rsidR="00803C3A" w:rsidRPr="00803C3A">
        <w:rPr>
          <w:rFonts w:ascii="Times New Roman" w:hAnsi="Times New Roman" w:cs="Times New Roman"/>
          <w:sz w:val="24"/>
          <w:szCs w:val="24"/>
        </w:rPr>
        <w:t>Beijin</w:t>
      </w:r>
      <w:r w:rsidR="00803C3A">
        <w:rPr>
          <w:rFonts w:ascii="Times New Roman" w:hAnsi="Times New Roman" w:cs="Times New Roman"/>
          <w:sz w:val="24"/>
          <w:szCs w:val="24"/>
        </w:rPr>
        <w:t>gkonvensjonen artikkel 1 nr. 1 bokstav f</w:t>
      </w:r>
      <w:r w:rsidR="00803C3A" w:rsidRPr="00803C3A">
        <w:rPr>
          <w:rFonts w:ascii="Times New Roman" w:hAnsi="Times New Roman" w:cs="Times New Roman"/>
          <w:sz w:val="24"/>
          <w:szCs w:val="24"/>
        </w:rPr>
        <w:t xml:space="preserve"> </w:t>
      </w:r>
      <w:r w:rsidR="00803C3A">
        <w:rPr>
          <w:rFonts w:ascii="Times New Roman" w:hAnsi="Times New Roman" w:cs="Times New Roman"/>
          <w:sz w:val="24"/>
          <w:szCs w:val="24"/>
        </w:rPr>
        <w:t xml:space="preserve">som </w:t>
      </w:r>
      <w:r w:rsidR="00803C3A" w:rsidRPr="00803C3A">
        <w:rPr>
          <w:rFonts w:ascii="Times New Roman" w:hAnsi="Times New Roman" w:cs="Times New Roman"/>
          <w:sz w:val="24"/>
          <w:szCs w:val="24"/>
        </w:rPr>
        <w:t xml:space="preserve">retter seg mot den som benytter et luftfartøy i tjeneste i den hensikt å forårsake død, alvorlig legemsskade eller vesentlig </w:t>
      </w:r>
      <w:r w:rsidR="00803C3A">
        <w:rPr>
          <w:rFonts w:ascii="Times New Roman" w:hAnsi="Times New Roman" w:cs="Times New Roman"/>
          <w:sz w:val="24"/>
          <w:szCs w:val="24"/>
        </w:rPr>
        <w:t>skade på eiendom eller miljøet, jf. høringsnotatet punkt 3.1.3 side 35-38</w:t>
      </w:r>
      <w:r w:rsidR="005F732E">
        <w:rPr>
          <w:rFonts w:ascii="Times New Roman" w:hAnsi="Times New Roman" w:cs="Times New Roman"/>
          <w:sz w:val="24"/>
          <w:szCs w:val="24"/>
        </w:rPr>
        <w:t xml:space="preserve"> om farefull bruk av luftfartøy. </w:t>
      </w:r>
    </w:p>
    <w:p w:rsidR="005663D5" w:rsidRDefault="005663D5" w:rsidP="00803C3A">
      <w:pPr>
        <w:spacing w:after="0" w:line="288" w:lineRule="auto"/>
        <w:rPr>
          <w:rFonts w:ascii="Times New Roman" w:hAnsi="Times New Roman" w:cs="Times New Roman"/>
          <w:sz w:val="24"/>
          <w:szCs w:val="24"/>
        </w:rPr>
      </w:pPr>
    </w:p>
    <w:p w:rsidR="00C95A29" w:rsidRDefault="005F732E" w:rsidP="005663D5">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Departementet drøfter </w:t>
      </w:r>
      <w:r w:rsidR="003B614B">
        <w:rPr>
          <w:rFonts w:ascii="Times New Roman" w:hAnsi="Times New Roman" w:cs="Times New Roman"/>
          <w:sz w:val="24"/>
          <w:szCs w:val="24"/>
        </w:rPr>
        <w:t>t</w:t>
      </w:r>
      <w:r>
        <w:rPr>
          <w:rFonts w:ascii="Times New Roman" w:hAnsi="Times New Roman" w:cs="Times New Roman"/>
          <w:sz w:val="24"/>
          <w:szCs w:val="24"/>
        </w:rPr>
        <w:t xml:space="preserve">re alternative forslag til lovregulering. </w:t>
      </w:r>
      <w:r w:rsidR="005663D5">
        <w:rPr>
          <w:rFonts w:ascii="Times New Roman" w:hAnsi="Times New Roman" w:cs="Times New Roman"/>
          <w:sz w:val="24"/>
          <w:szCs w:val="24"/>
        </w:rPr>
        <w:t>Fagutvalget har preferanse for å velge al</w:t>
      </w:r>
      <w:r w:rsidR="005663D5" w:rsidRPr="005663D5">
        <w:rPr>
          <w:rFonts w:ascii="Times New Roman" w:hAnsi="Times New Roman" w:cs="Times New Roman"/>
          <w:sz w:val="24"/>
          <w:szCs w:val="24"/>
        </w:rPr>
        <w:t>ternativ 2</w:t>
      </w:r>
      <w:r w:rsidR="005663D5">
        <w:rPr>
          <w:rFonts w:ascii="Times New Roman" w:hAnsi="Times New Roman" w:cs="Times New Roman"/>
          <w:sz w:val="24"/>
          <w:szCs w:val="24"/>
        </w:rPr>
        <w:t>. Det</w:t>
      </w:r>
      <w:r w:rsidR="003B614B">
        <w:rPr>
          <w:rFonts w:ascii="Times New Roman" w:hAnsi="Times New Roman" w:cs="Times New Roman"/>
          <w:sz w:val="24"/>
          <w:szCs w:val="24"/>
        </w:rPr>
        <w:t xml:space="preserve">te forslaget </w:t>
      </w:r>
      <w:r w:rsidR="005663D5">
        <w:rPr>
          <w:rFonts w:ascii="Times New Roman" w:hAnsi="Times New Roman" w:cs="Times New Roman"/>
          <w:sz w:val="24"/>
          <w:szCs w:val="24"/>
        </w:rPr>
        <w:t xml:space="preserve">er å gi </w:t>
      </w:r>
      <w:r w:rsidR="005663D5" w:rsidRPr="005663D5">
        <w:rPr>
          <w:rFonts w:ascii="Times New Roman" w:hAnsi="Times New Roman" w:cs="Times New Roman"/>
          <w:sz w:val="24"/>
          <w:szCs w:val="24"/>
        </w:rPr>
        <w:t xml:space="preserve">en egen bestemmelse som fellesregulerer det gjeldende straffansvaret </w:t>
      </w:r>
      <w:r w:rsidR="005663D5">
        <w:rPr>
          <w:rFonts w:ascii="Times New Roman" w:hAnsi="Times New Roman" w:cs="Times New Roman"/>
          <w:sz w:val="24"/>
          <w:szCs w:val="24"/>
        </w:rPr>
        <w:t xml:space="preserve">for bruk av skip </w:t>
      </w:r>
      <w:r w:rsidR="005663D5" w:rsidRPr="005663D5">
        <w:rPr>
          <w:rFonts w:ascii="Times New Roman" w:hAnsi="Times New Roman" w:cs="Times New Roman"/>
          <w:sz w:val="24"/>
          <w:szCs w:val="24"/>
        </w:rPr>
        <w:t xml:space="preserve">i </w:t>
      </w:r>
      <w:r w:rsidR="003B614B">
        <w:rPr>
          <w:rFonts w:ascii="Times New Roman" w:hAnsi="Times New Roman" w:cs="Times New Roman"/>
          <w:sz w:val="24"/>
          <w:szCs w:val="24"/>
        </w:rPr>
        <w:t xml:space="preserve">straffeloven </w:t>
      </w:r>
      <w:r w:rsidR="005663D5" w:rsidRPr="005663D5">
        <w:rPr>
          <w:rFonts w:ascii="Times New Roman" w:hAnsi="Times New Roman" w:cs="Times New Roman"/>
          <w:sz w:val="24"/>
          <w:szCs w:val="24"/>
        </w:rPr>
        <w:t>§ 141 bokstav a) og et nytt straffansvar for bruk av luftfartøy i e</w:t>
      </w:r>
      <w:r w:rsidR="003B614B">
        <w:rPr>
          <w:rFonts w:ascii="Times New Roman" w:hAnsi="Times New Roman" w:cs="Times New Roman"/>
          <w:sz w:val="24"/>
          <w:szCs w:val="24"/>
        </w:rPr>
        <w:t xml:space="preserve">t nytt straffebud som </w:t>
      </w:r>
      <w:r w:rsidR="005663D5" w:rsidRPr="005663D5">
        <w:rPr>
          <w:rFonts w:ascii="Times New Roman" w:hAnsi="Times New Roman" w:cs="Times New Roman"/>
          <w:sz w:val="24"/>
          <w:szCs w:val="24"/>
        </w:rPr>
        <w:t xml:space="preserve"> retter seg mot "den som rettsstridig fører eller bruker et luftfartøy eller skip, med forsett om derved å volde tap av menneskeliv eller betydelig skade på kropp, eiendom eller miljø."</w:t>
      </w:r>
      <w:r w:rsidR="005663D5">
        <w:rPr>
          <w:rFonts w:ascii="Times New Roman" w:hAnsi="Times New Roman" w:cs="Times New Roman"/>
          <w:sz w:val="24"/>
          <w:szCs w:val="24"/>
        </w:rPr>
        <w:t xml:space="preserve"> </w:t>
      </w:r>
      <w:r w:rsidR="003B614B">
        <w:rPr>
          <w:rFonts w:ascii="Times New Roman" w:hAnsi="Times New Roman" w:cs="Times New Roman"/>
          <w:sz w:val="24"/>
          <w:szCs w:val="24"/>
        </w:rPr>
        <w:t xml:space="preserve">Regelen kan passende inntas som ny straffeloven § 141 a. </w:t>
      </w:r>
      <w:r w:rsidR="005663D5">
        <w:rPr>
          <w:rFonts w:ascii="Times New Roman" w:hAnsi="Times New Roman" w:cs="Times New Roman"/>
          <w:sz w:val="24"/>
          <w:szCs w:val="24"/>
        </w:rPr>
        <w:t>D</w:t>
      </w:r>
      <w:r w:rsidR="005663D5" w:rsidRPr="005663D5">
        <w:rPr>
          <w:rFonts w:ascii="Times New Roman" w:hAnsi="Times New Roman" w:cs="Times New Roman"/>
          <w:sz w:val="24"/>
          <w:szCs w:val="24"/>
        </w:rPr>
        <w:t>ette alternativet innebærer at man utvider ansvaret for farefull bruk av skip ved å gjøre fare eller skade til et subjektivt vilkår. Det er nødvendig for at en fellesregulering skal være i samsvar med Beijingkonvensjonen.</w:t>
      </w:r>
      <w:r w:rsidR="005663D5">
        <w:rPr>
          <w:rFonts w:ascii="Times New Roman" w:hAnsi="Times New Roman" w:cs="Times New Roman"/>
          <w:sz w:val="24"/>
          <w:szCs w:val="24"/>
        </w:rPr>
        <w:t xml:space="preserve"> Utvalget ser imidlertid ikke noen motforestillinger mot dette.</w:t>
      </w:r>
      <w:r w:rsidR="00676354">
        <w:rPr>
          <w:rFonts w:ascii="Times New Roman" w:hAnsi="Times New Roman" w:cs="Times New Roman"/>
          <w:sz w:val="24"/>
          <w:szCs w:val="24"/>
        </w:rPr>
        <w:t xml:space="preserve"> Det vises til høringsnotatet side 37 med forslag til lovtekst på side 38.</w:t>
      </w:r>
    </w:p>
    <w:p w:rsidR="009B6260" w:rsidRDefault="009B6260" w:rsidP="005663D5">
      <w:pPr>
        <w:spacing w:after="0" w:line="288" w:lineRule="auto"/>
        <w:rPr>
          <w:rFonts w:ascii="Times New Roman" w:hAnsi="Times New Roman" w:cs="Times New Roman"/>
          <w:sz w:val="24"/>
          <w:szCs w:val="24"/>
        </w:rPr>
      </w:pPr>
    </w:p>
    <w:p w:rsidR="00836E57" w:rsidRDefault="009B6260" w:rsidP="00836E57">
      <w:pPr>
        <w:spacing w:after="0" w:line="288" w:lineRule="auto"/>
        <w:rPr>
          <w:rFonts w:ascii="Times New Roman" w:hAnsi="Times New Roman" w:cs="Times New Roman"/>
          <w:sz w:val="24"/>
          <w:szCs w:val="24"/>
        </w:rPr>
      </w:pPr>
      <w:r>
        <w:rPr>
          <w:rFonts w:ascii="Times New Roman" w:hAnsi="Times New Roman" w:cs="Times New Roman"/>
          <w:sz w:val="24"/>
          <w:szCs w:val="24"/>
        </w:rPr>
        <w:t>Etter Fagutvalgets oppfatning bør valget av alternativ ses i sammenheng med spørsmålene som drøftes i høringsnotatet punkt 3.1.4 om utslipp av farlig materiale fra fly og bruk av farlig materi</w:t>
      </w:r>
      <w:r w:rsidR="002F06CB">
        <w:rPr>
          <w:rFonts w:ascii="Times New Roman" w:hAnsi="Times New Roman" w:cs="Times New Roman"/>
          <w:sz w:val="24"/>
          <w:szCs w:val="24"/>
        </w:rPr>
        <w:t xml:space="preserve">ale mot eller om bord på et fly, som reguleres i Beijingkonvensjonen artikkel 1 nr. 1 bokstav </w:t>
      </w:r>
      <w:r w:rsidR="006E3266">
        <w:rPr>
          <w:rFonts w:ascii="Times New Roman" w:hAnsi="Times New Roman" w:cs="Times New Roman"/>
          <w:sz w:val="24"/>
          <w:szCs w:val="24"/>
        </w:rPr>
        <w:t xml:space="preserve">g) og h). </w:t>
      </w:r>
      <w:r w:rsidR="00922F6A" w:rsidRPr="00922F6A">
        <w:rPr>
          <w:rFonts w:ascii="Times New Roman" w:hAnsi="Times New Roman" w:cs="Times New Roman"/>
          <w:sz w:val="24"/>
          <w:szCs w:val="24"/>
        </w:rPr>
        <w:t>Etter departementets oppfatning bør</w:t>
      </w:r>
      <w:r w:rsidR="00922F6A">
        <w:rPr>
          <w:rFonts w:ascii="Times New Roman" w:hAnsi="Times New Roman" w:cs="Times New Roman"/>
          <w:sz w:val="24"/>
          <w:szCs w:val="24"/>
        </w:rPr>
        <w:t xml:space="preserve"> </w:t>
      </w:r>
      <w:r w:rsidR="00922F6A" w:rsidRPr="00922F6A">
        <w:rPr>
          <w:rFonts w:ascii="Times New Roman" w:hAnsi="Times New Roman" w:cs="Times New Roman"/>
          <w:sz w:val="24"/>
          <w:szCs w:val="24"/>
        </w:rPr>
        <w:t>forpliktelsene</w:t>
      </w:r>
      <w:r w:rsidR="00922F6A">
        <w:rPr>
          <w:rFonts w:ascii="Times New Roman" w:hAnsi="Times New Roman" w:cs="Times New Roman"/>
          <w:sz w:val="24"/>
          <w:szCs w:val="24"/>
        </w:rPr>
        <w:t xml:space="preserve"> etter disse bestemmelsene i </w:t>
      </w:r>
      <w:r w:rsidR="006E3E33">
        <w:rPr>
          <w:rFonts w:ascii="Times New Roman" w:hAnsi="Times New Roman" w:cs="Times New Roman"/>
          <w:sz w:val="24"/>
          <w:szCs w:val="24"/>
        </w:rPr>
        <w:t xml:space="preserve">konvensjonen </w:t>
      </w:r>
      <w:r w:rsidR="006E3E33" w:rsidRPr="00922F6A">
        <w:rPr>
          <w:rFonts w:ascii="Times New Roman" w:hAnsi="Times New Roman" w:cs="Times New Roman"/>
          <w:sz w:val="24"/>
          <w:szCs w:val="24"/>
        </w:rPr>
        <w:t>gjennomføres</w:t>
      </w:r>
      <w:r w:rsidR="00922F6A" w:rsidRPr="00922F6A">
        <w:rPr>
          <w:rFonts w:ascii="Times New Roman" w:hAnsi="Times New Roman" w:cs="Times New Roman"/>
          <w:sz w:val="24"/>
          <w:szCs w:val="24"/>
        </w:rPr>
        <w:t xml:space="preserve"> i straffeloven § 141 bokstav b) om bruk og </w:t>
      </w:r>
      <w:r w:rsidR="00922F6A">
        <w:rPr>
          <w:rFonts w:ascii="Times New Roman" w:hAnsi="Times New Roman" w:cs="Times New Roman"/>
          <w:sz w:val="24"/>
          <w:szCs w:val="24"/>
        </w:rPr>
        <w:t xml:space="preserve">bokstav </w:t>
      </w:r>
      <w:r w:rsidR="00922F6A" w:rsidRPr="00922F6A">
        <w:rPr>
          <w:rFonts w:ascii="Times New Roman" w:hAnsi="Times New Roman" w:cs="Times New Roman"/>
          <w:sz w:val="24"/>
          <w:szCs w:val="24"/>
        </w:rPr>
        <w:t xml:space="preserve">c) om utslipp som rammer tilsvarende handlinger knyttet til skip og luftfartøyer, se </w:t>
      </w:r>
      <w:r w:rsidR="00922F6A">
        <w:rPr>
          <w:rFonts w:ascii="Times New Roman" w:hAnsi="Times New Roman" w:cs="Times New Roman"/>
          <w:sz w:val="24"/>
          <w:szCs w:val="24"/>
        </w:rPr>
        <w:t>hørings</w:t>
      </w:r>
      <w:r w:rsidR="00922F6A" w:rsidRPr="00922F6A">
        <w:rPr>
          <w:rFonts w:ascii="Times New Roman" w:hAnsi="Times New Roman" w:cs="Times New Roman"/>
          <w:sz w:val="24"/>
          <w:szCs w:val="24"/>
        </w:rPr>
        <w:t xml:space="preserve">notatet </w:t>
      </w:r>
      <w:r w:rsidR="006E3E33">
        <w:rPr>
          <w:rFonts w:ascii="Times New Roman" w:hAnsi="Times New Roman" w:cs="Times New Roman"/>
          <w:sz w:val="24"/>
          <w:szCs w:val="24"/>
        </w:rPr>
        <w:t>punkt 3</w:t>
      </w:r>
      <w:r w:rsidR="00922F6A">
        <w:rPr>
          <w:rFonts w:ascii="Times New Roman" w:hAnsi="Times New Roman" w:cs="Times New Roman"/>
          <w:sz w:val="24"/>
          <w:szCs w:val="24"/>
        </w:rPr>
        <w:t xml:space="preserve">.1.4.3 </w:t>
      </w:r>
      <w:r w:rsidR="00922F6A" w:rsidRPr="00922F6A">
        <w:rPr>
          <w:rFonts w:ascii="Times New Roman" w:hAnsi="Times New Roman" w:cs="Times New Roman"/>
          <w:sz w:val="24"/>
          <w:szCs w:val="24"/>
        </w:rPr>
        <w:t xml:space="preserve">side 39-40.  Det er </w:t>
      </w:r>
      <w:r w:rsidR="00922F6A">
        <w:rPr>
          <w:rFonts w:ascii="Times New Roman" w:hAnsi="Times New Roman" w:cs="Times New Roman"/>
          <w:sz w:val="24"/>
          <w:szCs w:val="24"/>
        </w:rPr>
        <w:t xml:space="preserve">Fagutvalget </w:t>
      </w:r>
      <w:r w:rsidR="00922F6A" w:rsidRPr="00922F6A">
        <w:rPr>
          <w:rFonts w:ascii="Times New Roman" w:hAnsi="Times New Roman" w:cs="Times New Roman"/>
          <w:sz w:val="24"/>
          <w:szCs w:val="24"/>
        </w:rPr>
        <w:t>enig i. En fellesregulering av utslipp fra og bruk av farlige stoffer mv. om bord på luftfartøyer, skip og plattformer, utpeker alternativ 2 som det beste for reguleringen av farefull bruk av slike objekter. Paragrafene 140, 141 og 141 a vil gi hensiktsmessig fellesregulering av ansvaret for alvorlige trusler mot sikkerheten til sjøs og i luften.</w:t>
      </w:r>
    </w:p>
    <w:p w:rsidR="00836E57" w:rsidRDefault="00836E57" w:rsidP="00836E57">
      <w:pPr>
        <w:spacing w:after="0" w:line="288" w:lineRule="auto"/>
        <w:rPr>
          <w:rFonts w:ascii="Times New Roman" w:hAnsi="Times New Roman" w:cs="Times New Roman"/>
          <w:sz w:val="24"/>
          <w:szCs w:val="24"/>
        </w:rPr>
      </w:pPr>
    </w:p>
    <w:p w:rsidR="00836E57" w:rsidRDefault="00836E57" w:rsidP="009A7F82">
      <w:pPr>
        <w:keepNext/>
        <w:keepLines/>
        <w:widowControl w:val="0"/>
        <w:spacing w:after="0" w:line="288" w:lineRule="auto"/>
        <w:rPr>
          <w:rFonts w:ascii="Times New Roman" w:hAnsi="Times New Roman" w:cs="Times New Roman"/>
          <w:b/>
          <w:sz w:val="24"/>
          <w:szCs w:val="24"/>
        </w:rPr>
      </w:pPr>
      <w:r>
        <w:rPr>
          <w:rFonts w:ascii="Times New Roman" w:hAnsi="Times New Roman" w:cs="Times New Roman"/>
          <w:b/>
          <w:sz w:val="24"/>
          <w:szCs w:val="24"/>
        </w:rPr>
        <w:t>3.2 Ulovlig bemektigelse av luftfartøyer</w:t>
      </w:r>
    </w:p>
    <w:p w:rsidR="00836E57" w:rsidRDefault="00836E57" w:rsidP="009A7F82">
      <w:pPr>
        <w:keepNext/>
        <w:keepLines/>
        <w:widowControl w:val="0"/>
        <w:spacing w:after="0" w:line="288" w:lineRule="auto"/>
        <w:rPr>
          <w:rFonts w:ascii="Times New Roman" w:hAnsi="Times New Roman" w:cs="Times New Roman"/>
          <w:sz w:val="24"/>
          <w:szCs w:val="24"/>
        </w:rPr>
      </w:pPr>
      <w:r>
        <w:rPr>
          <w:rFonts w:ascii="Times New Roman" w:hAnsi="Times New Roman" w:cs="Times New Roman"/>
          <w:b/>
          <w:sz w:val="24"/>
          <w:szCs w:val="24"/>
        </w:rPr>
        <w:br/>
      </w:r>
      <w:r w:rsidRPr="00836E57">
        <w:rPr>
          <w:rFonts w:ascii="Times New Roman" w:hAnsi="Times New Roman" w:cs="Times New Roman"/>
          <w:sz w:val="24"/>
          <w:szCs w:val="24"/>
        </w:rPr>
        <w:t>Haagkonvensjonen 16. desember 1970 definerer i artikkel 1 flykapring slik at gjerningsmannen må være om bord på flyet. Siktemålet med Beijingprotokollen er å utvide straffansvaret for flykapring til å gjelde alle former for ulovlig bemektigelse av luftfartøyer. Også det å ta kontroll over luftfartøyet ved teknologi skal rammes.</w:t>
      </w:r>
    </w:p>
    <w:p w:rsidR="00836E57" w:rsidRDefault="00836E57" w:rsidP="00836E57">
      <w:pPr>
        <w:spacing w:after="0" w:line="288" w:lineRule="auto"/>
        <w:rPr>
          <w:rFonts w:ascii="Times New Roman" w:hAnsi="Times New Roman" w:cs="Times New Roman"/>
          <w:sz w:val="24"/>
          <w:szCs w:val="24"/>
        </w:rPr>
      </w:pPr>
    </w:p>
    <w:p w:rsidR="00836E57" w:rsidRPr="00836E57" w:rsidRDefault="00836E57" w:rsidP="00836E57">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Fagutvalget er enig med </w:t>
      </w:r>
      <w:r w:rsidRPr="00836E57">
        <w:rPr>
          <w:rFonts w:ascii="Times New Roman" w:hAnsi="Times New Roman" w:cs="Times New Roman"/>
          <w:sz w:val="24"/>
          <w:szCs w:val="24"/>
        </w:rPr>
        <w:t xml:space="preserve">departementet </w:t>
      </w:r>
      <w:r>
        <w:rPr>
          <w:rFonts w:ascii="Times New Roman" w:hAnsi="Times New Roman" w:cs="Times New Roman"/>
          <w:sz w:val="24"/>
          <w:szCs w:val="24"/>
        </w:rPr>
        <w:t xml:space="preserve">i at </w:t>
      </w:r>
      <w:r w:rsidRPr="00836E57">
        <w:rPr>
          <w:rFonts w:ascii="Times New Roman" w:hAnsi="Times New Roman" w:cs="Times New Roman"/>
          <w:sz w:val="24"/>
          <w:szCs w:val="24"/>
        </w:rPr>
        <w:t xml:space="preserve">ordlyden i straffeloven § 139 som retter seg både mot kapring av fly og skip, er tilstrekkelig vid til å oppfylle også de utvidede forpliktelsene i Beijingprotokollen. </w:t>
      </w:r>
      <w:r>
        <w:rPr>
          <w:rFonts w:ascii="Times New Roman" w:hAnsi="Times New Roman" w:cs="Times New Roman"/>
          <w:sz w:val="24"/>
          <w:szCs w:val="24"/>
        </w:rPr>
        <w:t xml:space="preserve"> </w:t>
      </w:r>
      <w:r w:rsidRPr="00836E57">
        <w:rPr>
          <w:rFonts w:ascii="Times New Roman" w:hAnsi="Times New Roman" w:cs="Times New Roman"/>
          <w:sz w:val="24"/>
          <w:szCs w:val="24"/>
        </w:rPr>
        <w:t xml:space="preserve">I henhold til forarbeidene er det imidlertid et vilkår for straff at gjerningsmannen befinner seg om bord, se </w:t>
      </w:r>
      <w:r>
        <w:rPr>
          <w:rFonts w:ascii="Times New Roman" w:hAnsi="Times New Roman" w:cs="Times New Roman"/>
          <w:sz w:val="24"/>
          <w:szCs w:val="24"/>
        </w:rPr>
        <w:t xml:space="preserve">høringsnotatet punkt 3.3 side </w:t>
      </w:r>
      <w:r w:rsidRPr="00836E57">
        <w:rPr>
          <w:rFonts w:ascii="Times New Roman" w:hAnsi="Times New Roman" w:cs="Times New Roman"/>
          <w:sz w:val="24"/>
          <w:szCs w:val="24"/>
        </w:rPr>
        <w:t>42.</w:t>
      </w:r>
      <w:r w:rsidR="001D498A">
        <w:rPr>
          <w:rFonts w:ascii="Times New Roman" w:hAnsi="Times New Roman" w:cs="Times New Roman"/>
          <w:sz w:val="24"/>
          <w:szCs w:val="24"/>
        </w:rPr>
        <w:t xml:space="preserve"> Utvalget er derfor enig i at det er behov for en klargjøring</w:t>
      </w:r>
      <w:r w:rsidR="00B4764E">
        <w:rPr>
          <w:rFonts w:ascii="Times New Roman" w:hAnsi="Times New Roman" w:cs="Times New Roman"/>
          <w:sz w:val="24"/>
          <w:szCs w:val="24"/>
        </w:rPr>
        <w:t xml:space="preserve"> i straffeloven § 139 og har ikke noe å bemerke til forslaget til utformingen a</w:t>
      </w:r>
      <w:r w:rsidR="00F331E7">
        <w:rPr>
          <w:rFonts w:ascii="Times New Roman" w:hAnsi="Times New Roman" w:cs="Times New Roman"/>
          <w:sz w:val="24"/>
          <w:szCs w:val="24"/>
        </w:rPr>
        <w:t>v bestemmelsen i høringsnotatet</w:t>
      </w:r>
      <w:r w:rsidR="00B4764E">
        <w:rPr>
          <w:rFonts w:ascii="Times New Roman" w:hAnsi="Times New Roman" w:cs="Times New Roman"/>
          <w:sz w:val="24"/>
          <w:szCs w:val="24"/>
        </w:rPr>
        <w:t xml:space="preserve"> punkt 3.2.4.3 side 43. </w:t>
      </w:r>
    </w:p>
    <w:p w:rsidR="00913815" w:rsidRDefault="00913815" w:rsidP="000978CC">
      <w:pPr>
        <w:spacing w:after="0" w:line="288" w:lineRule="auto"/>
        <w:rPr>
          <w:rFonts w:ascii="Times New Roman" w:hAnsi="Times New Roman" w:cs="Times New Roman"/>
          <w:sz w:val="24"/>
          <w:szCs w:val="24"/>
        </w:rPr>
      </w:pPr>
    </w:p>
    <w:p w:rsidR="00F57A6E" w:rsidRDefault="00F57A6E" w:rsidP="000978CC">
      <w:pPr>
        <w:spacing w:after="0" w:line="288" w:lineRule="auto"/>
        <w:rPr>
          <w:rFonts w:ascii="Times New Roman" w:hAnsi="Times New Roman" w:cs="Times New Roman"/>
          <w:sz w:val="24"/>
          <w:szCs w:val="24"/>
        </w:rPr>
      </w:pPr>
    </w:p>
    <w:p w:rsidR="00F57A6E" w:rsidRDefault="00F57A6E" w:rsidP="000978CC">
      <w:pPr>
        <w:spacing w:after="0" w:line="288" w:lineRule="auto"/>
        <w:rPr>
          <w:rFonts w:ascii="Times New Roman" w:hAnsi="Times New Roman" w:cs="Times New Roman"/>
          <w:sz w:val="26"/>
          <w:szCs w:val="26"/>
        </w:rPr>
      </w:pPr>
      <w:r>
        <w:rPr>
          <w:rFonts w:ascii="Times New Roman" w:hAnsi="Times New Roman" w:cs="Times New Roman"/>
          <w:b/>
          <w:sz w:val="26"/>
          <w:szCs w:val="26"/>
        </w:rPr>
        <w:t>4. Båndlegging av formuesgoder</w:t>
      </w:r>
    </w:p>
    <w:p w:rsidR="00F42217" w:rsidRDefault="00F57A6E" w:rsidP="00F42217">
      <w:pPr>
        <w:spacing w:after="0" w:line="288" w:lineRule="auto"/>
        <w:rPr>
          <w:rFonts w:ascii="Times New Roman" w:hAnsi="Times New Roman" w:cs="Times New Roman"/>
          <w:sz w:val="24"/>
          <w:szCs w:val="24"/>
        </w:rPr>
      </w:pPr>
      <w:r>
        <w:rPr>
          <w:rFonts w:ascii="Times New Roman" w:hAnsi="Times New Roman" w:cs="Times New Roman"/>
          <w:sz w:val="24"/>
          <w:szCs w:val="24"/>
        </w:rPr>
        <w:br/>
        <w:t xml:space="preserve">Fagutvalget er enig med departementet i at man bør imøtekomme anbefalingene </w:t>
      </w:r>
      <w:r w:rsidR="00F42217">
        <w:rPr>
          <w:rFonts w:ascii="Times New Roman" w:hAnsi="Times New Roman" w:cs="Times New Roman"/>
          <w:sz w:val="24"/>
          <w:szCs w:val="24"/>
        </w:rPr>
        <w:t xml:space="preserve">fra FATF i evalueringsrapporten 2014 om Norges gjennomføring av FNs sikkerhetsrådsresolusjon 1373 og FATFs rekommandasjon nr. 6 vedrørende båndlegging ("freezing") av formuesgoder tilhørende personer som kan mistenkes for terrorhandlinger og terrorfinansiering. </w:t>
      </w:r>
      <w:r w:rsidR="008947F8">
        <w:rPr>
          <w:rFonts w:ascii="Times New Roman" w:hAnsi="Times New Roman" w:cs="Times New Roman"/>
          <w:sz w:val="24"/>
          <w:szCs w:val="24"/>
        </w:rPr>
        <w:t>Selv om FATFs rekommandasjoner ikke er folkerettslig bindende, spiller de en viktig rolle i å gjennomføre</w:t>
      </w:r>
      <w:r w:rsidR="00505254">
        <w:rPr>
          <w:rFonts w:ascii="Times New Roman" w:hAnsi="Times New Roman" w:cs="Times New Roman"/>
          <w:sz w:val="24"/>
          <w:szCs w:val="24"/>
        </w:rPr>
        <w:t xml:space="preserve"> sikkerhetsrådets vedtak og relaterte folkerettslige forpliktelser, jf. høringsnotatet punkt 4.3.4 side 52-53.</w:t>
      </w:r>
    </w:p>
    <w:p w:rsidR="00F42217" w:rsidRDefault="00F42217" w:rsidP="00F42217">
      <w:pPr>
        <w:spacing w:after="0" w:line="288" w:lineRule="auto"/>
        <w:rPr>
          <w:rFonts w:ascii="Times New Roman" w:hAnsi="Times New Roman" w:cs="Times New Roman"/>
          <w:sz w:val="24"/>
          <w:szCs w:val="24"/>
        </w:rPr>
      </w:pPr>
    </w:p>
    <w:p w:rsidR="00F276CE" w:rsidRDefault="00F42217" w:rsidP="00F42217">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Resolusjon 1373 ble vedtatt 28. september 2001 og er gjennomført i norsk rett ved </w:t>
      </w:r>
      <w:r w:rsidR="002B43A8">
        <w:rPr>
          <w:rFonts w:ascii="Times New Roman" w:hAnsi="Times New Roman" w:cs="Times New Roman"/>
          <w:sz w:val="24"/>
          <w:szCs w:val="24"/>
        </w:rPr>
        <w:t>regler i straffeprosessloven kapittel 15 b i henhold lov</w:t>
      </w:r>
      <w:r>
        <w:rPr>
          <w:rFonts w:ascii="Times New Roman" w:hAnsi="Times New Roman" w:cs="Times New Roman"/>
          <w:sz w:val="24"/>
          <w:szCs w:val="24"/>
        </w:rPr>
        <w:t xml:space="preserve"> 28. juni 2002 nr. 54. </w:t>
      </w:r>
      <w:r w:rsidR="002B43A8">
        <w:rPr>
          <w:rFonts w:ascii="Times New Roman" w:hAnsi="Times New Roman" w:cs="Times New Roman"/>
          <w:sz w:val="24"/>
          <w:szCs w:val="24"/>
        </w:rPr>
        <w:t xml:space="preserve">FATF har likevel i rapporten funnet den norske gjennomføringen mangelfull på enkelte punkter. </w:t>
      </w:r>
      <w:r w:rsidR="008947F8">
        <w:rPr>
          <w:rFonts w:ascii="Times New Roman" w:hAnsi="Times New Roman" w:cs="Times New Roman"/>
          <w:sz w:val="24"/>
          <w:szCs w:val="24"/>
        </w:rPr>
        <w:t xml:space="preserve">Det er </w:t>
      </w:r>
      <w:r w:rsidR="006E3E33">
        <w:rPr>
          <w:rFonts w:ascii="Times New Roman" w:hAnsi="Times New Roman" w:cs="Times New Roman"/>
          <w:sz w:val="24"/>
          <w:szCs w:val="24"/>
        </w:rPr>
        <w:t>særlig påpekt</w:t>
      </w:r>
      <w:r w:rsidR="002B43A8">
        <w:rPr>
          <w:rFonts w:ascii="Times New Roman" w:hAnsi="Times New Roman" w:cs="Times New Roman"/>
          <w:sz w:val="24"/>
          <w:szCs w:val="24"/>
        </w:rPr>
        <w:t xml:space="preserve"> </w:t>
      </w:r>
      <w:r w:rsidR="002B43A8" w:rsidRPr="002B43A8">
        <w:rPr>
          <w:rFonts w:ascii="Times New Roman" w:hAnsi="Times New Roman" w:cs="Times New Roman"/>
          <w:sz w:val="24"/>
          <w:szCs w:val="24"/>
        </w:rPr>
        <w:t xml:space="preserve">behov for </w:t>
      </w:r>
      <w:r w:rsidR="002B43A8">
        <w:rPr>
          <w:rFonts w:ascii="Times New Roman" w:hAnsi="Times New Roman" w:cs="Times New Roman"/>
          <w:sz w:val="24"/>
          <w:szCs w:val="24"/>
        </w:rPr>
        <w:t xml:space="preserve">en </w:t>
      </w:r>
      <w:r w:rsidR="002B43A8" w:rsidRPr="002B43A8">
        <w:rPr>
          <w:rFonts w:ascii="Times New Roman" w:hAnsi="Times New Roman" w:cs="Times New Roman"/>
          <w:sz w:val="24"/>
          <w:szCs w:val="24"/>
        </w:rPr>
        <w:t xml:space="preserve">klarere plassering av ansvaret og kriteriene for å </w:t>
      </w:r>
      <w:r w:rsidR="00505254">
        <w:rPr>
          <w:rFonts w:ascii="Times New Roman" w:hAnsi="Times New Roman" w:cs="Times New Roman"/>
          <w:sz w:val="24"/>
          <w:szCs w:val="24"/>
        </w:rPr>
        <w:t xml:space="preserve">utpeke </w:t>
      </w:r>
      <w:r w:rsidR="002B43A8">
        <w:rPr>
          <w:rFonts w:ascii="Times New Roman" w:hAnsi="Times New Roman" w:cs="Times New Roman"/>
          <w:sz w:val="24"/>
          <w:szCs w:val="24"/>
        </w:rPr>
        <w:t xml:space="preserve">personer som er aktuelle for båndlegging </w:t>
      </w:r>
      <w:r w:rsidR="002B43A8" w:rsidRPr="002B43A8">
        <w:rPr>
          <w:rFonts w:ascii="Times New Roman" w:hAnsi="Times New Roman" w:cs="Times New Roman"/>
          <w:sz w:val="24"/>
          <w:szCs w:val="24"/>
        </w:rPr>
        <w:t>(</w:t>
      </w:r>
      <w:r w:rsidR="002B43A8">
        <w:rPr>
          <w:rFonts w:ascii="Times New Roman" w:hAnsi="Times New Roman" w:cs="Times New Roman"/>
          <w:sz w:val="24"/>
          <w:szCs w:val="24"/>
        </w:rPr>
        <w:t>"</w:t>
      </w:r>
      <w:r w:rsidR="002B43A8" w:rsidRPr="002B43A8">
        <w:rPr>
          <w:rFonts w:ascii="Times New Roman" w:hAnsi="Times New Roman" w:cs="Times New Roman"/>
          <w:sz w:val="24"/>
          <w:szCs w:val="24"/>
        </w:rPr>
        <w:t>designation mechanism</w:t>
      </w:r>
      <w:r w:rsidR="002B43A8">
        <w:rPr>
          <w:rFonts w:ascii="Times New Roman" w:hAnsi="Times New Roman" w:cs="Times New Roman"/>
          <w:sz w:val="24"/>
          <w:szCs w:val="24"/>
        </w:rPr>
        <w:t>"</w:t>
      </w:r>
      <w:r w:rsidR="002B43A8" w:rsidRPr="002B43A8">
        <w:rPr>
          <w:rFonts w:ascii="Times New Roman" w:hAnsi="Times New Roman" w:cs="Times New Roman"/>
          <w:sz w:val="24"/>
          <w:szCs w:val="24"/>
        </w:rPr>
        <w:t xml:space="preserve">), og en sterkere vektlegging av båndlegging som forebyggende tiltak av sivilrettslig karakter med løsere bånd til straffeprosessen, se </w:t>
      </w:r>
      <w:r w:rsidR="002B43A8">
        <w:rPr>
          <w:rFonts w:ascii="Times New Roman" w:hAnsi="Times New Roman" w:cs="Times New Roman"/>
          <w:sz w:val="24"/>
          <w:szCs w:val="24"/>
        </w:rPr>
        <w:t>hørings</w:t>
      </w:r>
      <w:r w:rsidR="002B43A8" w:rsidRPr="002B43A8">
        <w:rPr>
          <w:rFonts w:ascii="Times New Roman" w:hAnsi="Times New Roman" w:cs="Times New Roman"/>
          <w:sz w:val="24"/>
          <w:szCs w:val="24"/>
        </w:rPr>
        <w:t xml:space="preserve">notatet </w:t>
      </w:r>
      <w:r w:rsidR="002B43A8">
        <w:rPr>
          <w:rFonts w:ascii="Times New Roman" w:hAnsi="Times New Roman" w:cs="Times New Roman"/>
          <w:sz w:val="24"/>
          <w:szCs w:val="24"/>
        </w:rPr>
        <w:t xml:space="preserve">punkt 4.11.3 </w:t>
      </w:r>
      <w:r w:rsidR="002B43A8" w:rsidRPr="002B43A8">
        <w:rPr>
          <w:rFonts w:ascii="Times New Roman" w:hAnsi="Times New Roman" w:cs="Times New Roman"/>
          <w:sz w:val="24"/>
          <w:szCs w:val="24"/>
        </w:rPr>
        <w:t>side 83</w:t>
      </w:r>
      <w:r w:rsidR="008947F8">
        <w:rPr>
          <w:rFonts w:ascii="Times New Roman" w:hAnsi="Times New Roman" w:cs="Times New Roman"/>
          <w:sz w:val="24"/>
          <w:szCs w:val="24"/>
        </w:rPr>
        <w:t>.</w:t>
      </w:r>
      <w:r w:rsidR="00D178CE">
        <w:rPr>
          <w:rFonts w:ascii="Times New Roman" w:hAnsi="Times New Roman" w:cs="Times New Roman"/>
          <w:sz w:val="24"/>
          <w:szCs w:val="24"/>
        </w:rPr>
        <w:t xml:space="preserve"> Fagutvalget bemerker til det siste at i utkastet til ny straffeprosesslov i NOU 2016:24 er det i forslaget til § 22</w:t>
      </w:r>
      <w:r w:rsidR="00D178CE">
        <w:rPr>
          <w:rFonts w:ascii="Times New Roman" w:hAnsi="Times New Roman" w:cs="Times New Roman"/>
          <w:sz w:val="24"/>
          <w:szCs w:val="24"/>
        </w:rPr>
        <w:noBreakHyphen/>
        <w:t>3 foreslått presisert i lovteksten at formålet med båndlegging er å forhindre fremtidige terrorhandlinger.</w:t>
      </w:r>
    </w:p>
    <w:p w:rsidR="008947F8" w:rsidRDefault="008947F8" w:rsidP="00F42217">
      <w:pPr>
        <w:spacing w:after="0" w:line="288" w:lineRule="auto"/>
        <w:rPr>
          <w:rFonts w:ascii="Times New Roman" w:hAnsi="Times New Roman" w:cs="Times New Roman"/>
          <w:sz w:val="24"/>
          <w:szCs w:val="24"/>
        </w:rPr>
      </w:pPr>
    </w:p>
    <w:p w:rsidR="00505254" w:rsidRDefault="00505254" w:rsidP="00F42217">
      <w:pPr>
        <w:spacing w:after="0" w:line="288" w:lineRule="auto"/>
        <w:rPr>
          <w:rFonts w:ascii="Times New Roman" w:hAnsi="Times New Roman" w:cs="Times New Roman"/>
          <w:sz w:val="24"/>
          <w:szCs w:val="24"/>
        </w:rPr>
      </w:pPr>
      <w:r>
        <w:rPr>
          <w:rFonts w:ascii="Times New Roman" w:hAnsi="Times New Roman" w:cs="Times New Roman"/>
          <w:sz w:val="24"/>
          <w:szCs w:val="24"/>
        </w:rPr>
        <w:t>Behovet for lovendringer eller andre tiltak som kan bidra til at båndleggingsreglene virker på en mest mulig hensiktsmessig måte, er gru</w:t>
      </w:r>
      <w:r w:rsidR="00D92411">
        <w:rPr>
          <w:rFonts w:ascii="Times New Roman" w:hAnsi="Times New Roman" w:cs="Times New Roman"/>
          <w:sz w:val="24"/>
          <w:szCs w:val="24"/>
        </w:rPr>
        <w:t>ndig drøftet i høringsnotatet og gir et overbevisende inntrykk. Fagutvalget har lite å bemerke til departementets generelle synspunkter og konkrete forslag, men begrenser seg til å ta opp enkelte spørsmål.</w:t>
      </w:r>
    </w:p>
    <w:p w:rsidR="004D57A5" w:rsidRDefault="004D57A5" w:rsidP="00F42217">
      <w:pPr>
        <w:spacing w:after="0" w:line="288" w:lineRule="auto"/>
        <w:rPr>
          <w:rFonts w:ascii="Times New Roman" w:hAnsi="Times New Roman" w:cs="Times New Roman"/>
          <w:sz w:val="24"/>
          <w:szCs w:val="24"/>
        </w:rPr>
      </w:pPr>
    </w:p>
    <w:p w:rsidR="004D57A5" w:rsidRDefault="00D92411" w:rsidP="00F42217">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Departementet foreslår </w:t>
      </w:r>
      <w:r w:rsidR="004D57A5">
        <w:rPr>
          <w:rFonts w:ascii="Times New Roman" w:hAnsi="Times New Roman" w:cs="Times New Roman"/>
          <w:sz w:val="24"/>
          <w:szCs w:val="24"/>
        </w:rPr>
        <w:t xml:space="preserve">i høringsnotatet punkt 4.11.4 side 84 flg. </w:t>
      </w:r>
      <w:r>
        <w:rPr>
          <w:rFonts w:ascii="Times New Roman" w:hAnsi="Times New Roman" w:cs="Times New Roman"/>
          <w:sz w:val="24"/>
          <w:szCs w:val="24"/>
        </w:rPr>
        <w:t>å flytte båndleggingsinstituttet fra straffeprosessloven til politiloven § 17. Dette innebærer at båndlegging kommer inn under den delen av politiets virksomhet som ikke er etterforskning. Politiets sikkerhetstjeneste (PST) vil etter forslaget</w:t>
      </w:r>
      <w:r w:rsidR="00D178CE">
        <w:rPr>
          <w:rFonts w:ascii="Times New Roman" w:hAnsi="Times New Roman" w:cs="Times New Roman"/>
          <w:sz w:val="24"/>
          <w:szCs w:val="24"/>
        </w:rPr>
        <w:t xml:space="preserve"> håndtere informasjonsinnhenting og ha ansvar for å vurdere, beslutte og begjære båndlegging. Forslaget sikrer </w:t>
      </w:r>
      <w:r w:rsidR="004D57A5">
        <w:rPr>
          <w:rFonts w:ascii="Times New Roman" w:hAnsi="Times New Roman" w:cs="Times New Roman"/>
          <w:sz w:val="24"/>
          <w:szCs w:val="24"/>
        </w:rPr>
        <w:t xml:space="preserve">i følge departementet </w:t>
      </w:r>
      <w:r w:rsidR="00D178CE">
        <w:rPr>
          <w:rFonts w:ascii="Times New Roman" w:hAnsi="Times New Roman" w:cs="Times New Roman"/>
          <w:sz w:val="24"/>
          <w:szCs w:val="24"/>
        </w:rPr>
        <w:t xml:space="preserve">at bruken av båndleggingsinstituttet vil ligge til politiet og </w:t>
      </w:r>
      <w:r w:rsidR="004D57A5">
        <w:rPr>
          <w:rFonts w:ascii="Times New Roman" w:hAnsi="Times New Roman" w:cs="Times New Roman"/>
          <w:sz w:val="24"/>
          <w:szCs w:val="24"/>
        </w:rPr>
        <w:t xml:space="preserve">bli </w:t>
      </w:r>
      <w:r w:rsidR="00D178CE">
        <w:rPr>
          <w:rFonts w:ascii="Times New Roman" w:hAnsi="Times New Roman" w:cs="Times New Roman"/>
          <w:sz w:val="24"/>
          <w:szCs w:val="24"/>
        </w:rPr>
        <w:t>forvalte</w:t>
      </w:r>
      <w:r w:rsidR="004D57A5">
        <w:rPr>
          <w:rFonts w:ascii="Times New Roman" w:hAnsi="Times New Roman" w:cs="Times New Roman"/>
          <w:sz w:val="24"/>
          <w:szCs w:val="24"/>
        </w:rPr>
        <w:t>t</w:t>
      </w:r>
      <w:r w:rsidR="00D178CE">
        <w:rPr>
          <w:rFonts w:ascii="Times New Roman" w:hAnsi="Times New Roman" w:cs="Times New Roman"/>
          <w:sz w:val="24"/>
          <w:szCs w:val="24"/>
        </w:rPr>
        <w:t xml:space="preserve"> av en myndighet som har erfaring med bevisvurderinger og forholdsmessig bruk av tvangsmidler.</w:t>
      </w:r>
      <w:r w:rsidR="004D57A5">
        <w:rPr>
          <w:rFonts w:ascii="Times New Roman" w:hAnsi="Times New Roman" w:cs="Times New Roman"/>
          <w:sz w:val="24"/>
          <w:szCs w:val="24"/>
        </w:rPr>
        <w:t xml:space="preserve"> </w:t>
      </w:r>
    </w:p>
    <w:p w:rsidR="004D57A5" w:rsidRDefault="004D57A5" w:rsidP="00F42217">
      <w:pPr>
        <w:spacing w:after="0" w:line="288" w:lineRule="auto"/>
        <w:rPr>
          <w:rFonts w:ascii="Times New Roman" w:hAnsi="Times New Roman" w:cs="Times New Roman"/>
          <w:sz w:val="24"/>
          <w:szCs w:val="24"/>
        </w:rPr>
      </w:pPr>
    </w:p>
    <w:p w:rsidR="004D57A5" w:rsidRDefault="004D57A5" w:rsidP="004D57A5">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Fagutvalget bemerker at den viktigste formelle konsekvensen av forslaget vil være at den øverste ansvarlige for båndleggingen ikke lenger vil være riksadvokaten, men Justis- og beredskapsministeren. Det vil fortsatt være domstolene som tar endelig stilling til om vilkårene for båndlegging er oppfylt. </w:t>
      </w:r>
    </w:p>
    <w:p w:rsidR="008A641A" w:rsidRDefault="008A641A" w:rsidP="004D57A5">
      <w:pPr>
        <w:spacing w:after="0" w:line="288" w:lineRule="auto"/>
        <w:rPr>
          <w:rFonts w:ascii="Times New Roman" w:hAnsi="Times New Roman" w:cs="Times New Roman"/>
          <w:sz w:val="24"/>
          <w:szCs w:val="24"/>
        </w:rPr>
      </w:pPr>
    </w:p>
    <w:p w:rsidR="00960A51" w:rsidRDefault="008A641A" w:rsidP="004D57A5">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Utvalget tar ikke noe bestemt standpunkt til om kompetansen til å beslutte båndlegging bør overføres til politiet eller beholdes i påtalemyndigheten. Spørsmålet ble grundig utredet i forbindelse med gjennomføringen av sikkerhetsresolusjon 1373 ved lovendringen i 2002. Da ble det særlig vist til at påtalemyndigheten hadde den nødvendige kompetansen for å håndtere vanskelige rettslige og bevismessige spørsmål som kunne oppstå. </w:t>
      </w:r>
      <w:r w:rsidR="00002DD1">
        <w:rPr>
          <w:rFonts w:ascii="Times New Roman" w:hAnsi="Times New Roman" w:cs="Times New Roman"/>
          <w:sz w:val="24"/>
          <w:szCs w:val="24"/>
        </w:rPr>
        <w:t>Dette hensynet har den samme gyldighet i dag</w:t>
      </w:r>
      <w:r w:rsidR="009B7FD1">
        <w:rPr>
          <w:rFonts w:ascii="Times New Roman" w:hAnsi="Times New Roman" w:cs="Times New Roman"/>
          <w:sz w:val="24"/>
          <w:szCs w:val="24"/>
        </w:rPr>
        <w:t xml:space="preserve">. Utvalget peker på </w:t>
      </w:r>
      <w:r w:rsidR="00960A51">
        <w:rPr>
          <w:rFonts w:ascii="Times New Roman" w:hAnsi="Times New Roman" w:cs="Times New Roman"/>
          <w:sz w:val="24"/>
          <w:szCs w:val="24"/>
        </w:rPr>
        <w:t xml:space="preserve">at Departementet foreslår å videreføre grunnvilkåret om skjellig grunn til mistanke om overtredelse av nærmere bestemte straffebud, se høringsnotatet punkt 4.11.4.2 side 85. </w:t>
      </w:r>
    </w:p>
    <w:p w:rsidR="00960A51" w:rsidRDefault="00960A51" w:rsidP="004D57A5">
      <w:pPr>
        <w:spacing w:after="0" w:line="288" w:lineRule="auto"/>
        <w:rPr>
          <w:rFonts w:ascii="Times New Roman" w:hAnsi="Times New Roman" w:cs="Times New Roman"/>
          <w:sz w:val="24"/>
          <w:szCs w:val="24"/>
        </w:rPr>
      </w:pPr>
    </w:p>
    <w:p w:rsidR="008A641A" w:rsidRDefault="00002DD1" w:rsidP="004D57A5">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Utvalget ser imidlertid at en overføring av reglene om båndlegging til politiloven vil kunne være bedre egnet til å markere instituttets karakter av </w:t>
      </w:r>
      <w:r w:rsidR="006E3E33">
        <w:rPr>
          <w:rFonts w:ascii="Times New Roman" w:hAnsi="Times New Roman" w:cs="Times New Roman"/>
          <w:sz w:val="24"/>
          <w:szCs w:val="24"/>
        </w:rPr>
        <w:t>preventivt tiltak uavhengig</w:t>
      </w:r>
      <w:r>
        <w:rPr>
          <w:rFonts w:ascii="Times New Roman" w:hAnsi="Times New Roman" w:cs="Times New Roman"/>
          <w:sz w:val="24"/>
          <w:szCs w:val="24"/>
        </w:rPr>
        <w:t xml:space="preserve"> av ett</w:t>
      </w:r>
      <w:r w:rsidR="00960A51">
        <w:rPr>
          <w:rFonts w:ascii="Times New Roman" w:hAnsi="Times New Roman" w:cs="Times New Roman"/>
          <w:sz w:val="24"/>
          <w:szCs w:val="24"/>
        </w:rPr>
        <w:t>erforskningen av en straffesak i he</w:t>
      </w:r>
      <w:r w:rsidR="0086026E">
        <w:rPr>
          <w:rFonts w:ascii="Times New Roman" w:hAnsi="Times New Roman" w:cs="Times New Roman"/>
          <w:sz w:val="24"/>
          <w:szCs w:val="24"/>
        </w:rPr>
        <w:t>nhold til anbefalingen fra FATF.</w:t>
      </w:r>
    </w:p>
    <w:p w:rsidR="00002DD1" w:rsidRDefault="00002DD1" w:rsidP="004D57A5">
      <w:pPr>
        <w:spacing w:after="0" w:line="288" w:lineRule="auto"/>
        <w:rPr>
          <w:rFonts w:ascii="Times New Roman" w:hAnsi="Times New Roman" w:cs="Times New Roman"/>
          <w:sz w:val="24"/>
          <w:szCs w:val="24"/>
        </w:rPr>
      </w:pPr>
    </w:p>
    <w:p w:rsidR="00002DD1" w:rsidRDefault="00002DD1" w:rsidP="004D57A5">
      <w:pPr>
        <w:spacing w:after="0" w:line="288" w:lineRule="auto"/>
        <w:rPr>
          <w:rFonts w:ascii="Times New Roman" w:hAnsi="Times New Roman" w:cs="Times New Roman"/>
          <w:sz w:val="24"/>
          <w:szCs w:val="24"/>
        </w:rPr>
      </w:pPr>
      <w:r w:rsidRPr="00002DD1">
        <w:rPr>
          <w:rFonts w:ascii="Times New Roman" w:hAnsi="Times New Roman" w:cs="Times New Roman"/>
          <w:sz w:val="24"/>
          <w:szCs w:val="24"/>
        </w:rPr>
        <w:t xml:space="preserve">Selv om båndlegging overføres til politiloven, </w:t>
      </w:r>
      <w:r w:rsidR="00281792">
        <w:rPr>
          <w:rFonts w:ascii="Times New Roman" w:hAnsi="Times New Roman" w:cs="Times New Roman"/>
          <w:sz w:val="24"/>
          <w:szCs w:val="24"/>
        </w:rPr>
        <w:t xml:space="preserve">vil Fagutvalget fraråde at man </w:t>
      </w:r>
      <w:r w:rsidRPr="00002DD1">
        <w:rPr>
          <w:rFonts w:ascii="Times New Roman" w:hAnsi="Times New Roman" w:cs="Times New Roman"/>
          <w:sz w:val="24"/>
          <w:szCs w:val="24"/>
        </w:rPr>
        <w:t>erstatte</w:t>
      </w:r>
      <w:r w:rsidR="00281792">
        <w:rPr>
          <w:rFonts w:ascii="Times New Roman" w:hAnsi="Times New Roman" w:cs="Times New Roman"/>
          <w:sz w:val="24"/>
          <w:szCs w:val="24"/>
        </w:rPr>
        <w:t>r</w:t>
      </w:r>
      <w:r w:rsidRPr="00002DD1">
        <w:rPr>
          <w:rFonts w:ascii="Times New Roman" w:hAnsi="Times New Roman" w:cs="Times New Roman"/>
          <w:sz w:val="24"/>
          <w:szCs w:val="24"/>
        </w:rPr>
        <w:t xml:space="preserve"> </w:t>
      </w:r>
      <w:r w:rsidR="00281792">
        <w:rPr>
          <w:rFonts w:ascii="Times New Roman" w:hAnsi="Times New Roman" w:cs="Times New Roman"/>
          <w:sz w:val="24"/>
          <w:szCs w:val="24"/>
        </w:rPr>
        <w:t xml:space="preserve">kriteriet </w:t>
      </w:r>
      <w:r w:rsidRPr="00002DD1">
        <w:rPr>
          <w:rFonts w:ascii="Times New Roman" w:hAnsi="Times New Roman" w:cs="Times New Roman"/>
          <w:sz w:val="24"/>
          <w:szCs w:val="24"/>
        </w:rPr>
        <w:t xml:space="preserve">"skjellig grunn til mistanke" med "god grunn til å anta", når meningsinnholdet </w:t>
      </w:r>
      <w:r w:rsidR="00281792">
        <w:rPr>
          <w:rFonts w:ascii="Times New Roman" w:hAnsi="Times New Roman" w:cs="Times New Roman"/>
          <w:sz w:val="24"/>
          <w:szCs w:val="24"/>
        </w:rPr>
        <w:t xml:space="preserve">i følge høringsnotatet punkt 4.11.4.2 side 85-86 </w:t>
      </w:r>
      <w:r w:rsidR="009B7FD1">
        <w:rPr>
          <w:rFonts w:ascii="Times New Roman" w:hAnsi="Times New Roman" w:cs="Times New Roman"/>
          <w:sz w:val="24"/>
          <w:szCs w:val="24"/>
        </w:rPr>
        <w:t xml:space="preserve">skal være det samme. </w:t>
      </w:r>
      <w:r w:rsidR="00281792">
        <w:rPr>
          <w:rFonts w:ascii="Times New Roman" w:hAnsi="Times New Roman" w:cs="Times New Roman"/>
          <w:sz w:val="24"/>
          <w:szCs w:val="24"/>
        </w:rPr>
        <w:t>Selv om båndleggingsinstituttet flyttes ut av straffeprosessen, er det fremdeles politijurister og andre polititjenestemenn som skal håndtere sakene. Utvalget mener at det kan lede til usikkerhet hvis det innføres et nytt begrep</w:t>
      </w:r>
      <w:r w:rsidR="0086026E">
        <w:rPr>
          <w:rFonts w:ascii="Times New Roman" w:hAnsi="Times New Roman" w:cs="Times New Roman"/>
          <w:sz w:val="24"/>
          <w:szCs w:val="24"/>
        </w:rPr>
        <w:t xml:space="preserve"> for å angi mistankekravet</w:t>
      </w:r>
      <w:r w:rsidR="00281792">
        <w:rPr>
          <w:rFonts w:ascii="Times New Roman" w:hAnsi="Times New Roman" w:cs="Times New Roman"/>
          <w:sz w:val="24"/>
          <w:szCs w:val="24"/>
        </w:rPr>
        <w:t xml:space="preserve">. </w:t>
      </w:r>
      <w:r w:rsidRPr="00002DD1">
        <w:rPr>
          <w:rFonts w:ascii="Times New Roman" w:hAnsi="Times New Roman" w:cs="Times New Roman"/>
          <w:sz w:val="24"/>
          <w:szCs w:val="24"/>
        </w:rPr>
        <w:t xml:space="preserve">Det kan lede til den misforståelse at terskelen er lavere. Kriteriet </w:t>
      </w:r>
      <w:r w:rsidR="00D622D0">
        <w:rPr>
          <w:rFonts w:ascii="Times New Roman" w:hAnsi="Times New Roman" w:cs="Times New Roman"/>
          <w:sz w:val="24"/>
          <w:szCs w:val="24"/>
        </w:rPr>
        <w:t xml:space="preserve">"god grunn til å anta" likner på </w:t>
      </w:r>
      <w:r w:rsidRPr="00002DD1">
        <w:rPr>
          <w:rFonts w:ascii="Times New Roman" w:hAnsi="Times New Roman" w:cs="Times New Roman"/>
          <w:sz w:val="24"/>
          <w:szCs w:val="24"/>
        </w:rPr>
        <w:t xml:space="preserve">"grunn til å tro" </w:t>
      </w:r>
      <w:r w:rsidR="006E3E33" w:rsidRPr="00002DD1">
        <w:rPr>
          <w:rFonts w:ascii="Times New Roman" w:hAnsi="Times New Roman" w:cs="Times New Roman"/>
          <w:sz w:val="24"/>
          <w:szCs w:val="24"/>
        </w:rPr>
        <w:t xml:space="preserve">i </w:t>
      </w:r>
      <w:r w:rsidR="006E3E33">
        <w:rPr>
          <w:rFonts w:ascii="Times New Roman" w:hAnsi="Times New Roman" w:cs="Times New Roman"/>
          <w:sz w:val="24"/>
          <w:szCs w:val="24"/>
        </w:rPr>
        <w:t>straffeprosessloven</w:t>
      </w:r>
      <w:r w:rsidR="00281792">
        <w:rPr>
          <w:rFonts w:ascii="Times New Roman" w:hAnsi="Times New Roman" w:cs="Times New Roman"/>
          <w:sz w:val="24"/>
          <w:szCs w:val="24"/>
        </w:rPr>
        <w:t xml:space="preserve"> </w:t>
      </w:r>
      <w:r w:rsidRPr="00002DD1">
        <w:rPr>
          <w:rFonts w:ascii="Times New Roman" w:hAnsi="Times New Roman" w:cs="Times New Roman"/>
          <w:sz w:val="24"/>
          <w:szCs w:val="24"/>
        </w:rPr>
        <w:t>§</w:t>
      </w:r>
      <w:r w:rsidR="00281792">
        <w:rPr>
          <w:rFonts w:ascii="Times New Roman" w:hAnsi="Times New Roman" w:cs="Times New Roman"/>
          <w:sz w:val="24"/>
          <w:szCs w:val="24"/>
        </w:rPr>
        <w:t> </w:t>
      </w:r>
      <w:r w:rsidRPr="00002DD1">
        <w:rPr>
          <w:rFonts w:ascii="Times New Roman" w:hAnsi="Times New Roman" w:cs="Times New Roman"/>
          <w:sz w:val="24"/>
          <w:szCs w:val="24"/>
        </w:rPr>
        <w:t>222 a og "rimelig grunn til å tro" i § 222 d hvor det ikke kreves sannsynlighetsovervekt.</w:t>
      </w:r>
    </w:p>
    <w:p w:rsidR="008947F8" w:rsidRDefault="008947F8" w:rsidP="00F42217">
      <w:pPr>
        <w:spacing w:after="0" w:line="288" w:lineRule="auto"/>
        <w:rPr>
          <w:rFonts w:ascii="Times New Roman" w:hAnsi="Times New Roman" w:cs="Times New Roman"/>
          <w:sz w:val="24"/>
          <w:szCs w:val="24"/>
        </w:rPr>
      </w:pPr>
    </w:p>
    <w:p w:rsidR="00014746" w:rsidRPr="00027C8B" w:rsidRDefault="00014746" w:rsidP="00014746">
      <w:pPr>
        <w:keepNext/>
        <w:keepLines/>
        <w:widowControl w:val="0"/>
        <w:spacing w:after="0" w:line="288" w:lineRule="auto"/>
        <w:rPr>
          <w:rFonts w:ascii="Times New Roman" w:hAnsi="Times New Roman" w:cs="Times New Roman"/>
          <w:sz w:val="24"/>
          <w:szCs w:val="24"/>
        </w:rPr>
      </w:pPr>
      <w:r w:rsidRPr="00027C8B">
        <w:rPr>
          <w:rFonts w:ascii="Times New Roman" w:hAnsi="Times New Roman" w:cs="Times New Roman"/>
          <w:sz w:val="24"/>
          <w:szCs w:val="24"/>
        </w:rPr>
        <w:t>Med vennlig hilsen</w:t>
      </w:r>
    </w:p>
    <w:p w:rsidR="00014746" w:rsidRPr="00027C8B" w:rsidRDefault="00014746" w:rsidP="00014746">
      <w:pPr>
        <w:keepNext/>
        <w:keepLines/>
        <w:widowControl w:val="0"/>
        <w:spacing w:after="0" w:line="288" w:lineRule="auto"/>
        <w:rPr>
          <w:rFonts w:ascii="Times New Roman" w:hAnsi="Times New Roman" w:cs="Times New Roman"/>
          <w:sz w:val="24"/>
          <w:szCs w:val="24"/>
        </w:rPr>
      </w:pPr>
      <w:r w:rsidRPr="00027C8B">
        <w:rPr>
          <w:rFonts w:ascii="Times New Roman" w:hAnsi="Times New Roman" w:cs="Times New Roman"/>
          <w:sz w:val="24"/>
          <w:szCs w:val="24"/>
        </w:rPr>
        <w:t>Den norske Dommerforening</w:t>
      </w:r>
    </w:p>
    <w:p w:rsidR="00014746" w:rsidRDefault="00014746" w:rsidP="00014746">
      <w:pPr>
        <w:keepNext/>
        <w:keepLines/>
        <w:widowControl w:val="0"/>
        <w:spacing w:after="0" w:line="288" w:lineRule="auto"/>
        <w:rPr>
          <w:rFonts w:ascii="Times New Roman" w:hAnsi="Times New Roman" w:cs="Times New Roman"/>
          <w:sz w:val="24"/>
          <w:szCs w:val="24"/>
        </w:rPr>
      </w:pPr>
      <w:r w:rsidRPr="00027C8B">
        <w:rPr>
          <w:rFonts w:ascii="Times New Roman" w:hAnsi="Times New Roman" w:cs="Times New Roman"/>
          <w:sz w:val="24"/>
          <w:szCs w:val="24"/>
        </w:rPr>
        <w:t>Fagutvalget for strafferett og straffeprosess</w:t>
      </w:r>
    </w:p>
    <w:p w:rsidR="00014746" w:rsidRPr="00027C8B" w:rsidRDefault="00014746" w:rsidP="00014746">
      <w:pPr>
        <w:keepNext/>
        <w:keepLines/>
        <w:widowControl w:val="0"/>
        <w:spacing w:after="0" w:line="288" w:lineRule="auto"/>
        <w:rPr>
          <w:rFonts w:ascii="Times New Roman" w:hAnsi="Times New Roman" w:cs="Times New Roman"/>
          <w:sz w:val="24"/>
          <w:szCs w:val="24"/>
        </w:rPr>
      </w:pPr>
    </w:p>
    <w:p w:rsidR="00014746" w:rsidRPr="00027C8B" w:rsidRDefault="00014746" w:rsidP="00014746">
      <w:pPr>
        <w:keepNext/>
        <w:keepLines/>
        <w:widowControl w:val="0"/>
        <w:spacing w:after="0" w:line="288" w:lineRule="auto"/>
        <w:rPr>
          <w:rFonts w:ascii="Times New Roman" w:hAnsi="Times New Roman" w:cs="Times New Roman"/>
          <w:sz w:val="24"/>
          <w:szCs w:val="24"/>
        </w:rPr>
      </w:pPr>
    </w:p>
    <w:p w:rsidR="008947F8" w:rsidRDefault="00014746" w:rsidP="00014746">
      <w:pPr>
        <w:keepNext/>
        <w:keepLines/>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Dag Bugge Nordén</w:t>
      </w:r>
    </w:p>
    <w:p w:rsidR="00014746" w:rsidRDefault="00D622D0" w:rsidP="00014746">
      <w:pPr>
        <w:keepNext/>
        <w:keepLines/>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w:t>
      </w:r>
      <w:r w:rsidR="00014746">
        <w:rPr>
          <w:rFonts w:ascii="Times New Roman" w:hAnsi="Times New Roman" w:cs="Times New Roman"/>
          <w:sz w:val="24"/>
          <w:szCs w:val="24"/>
        </w:rPr>
        <w:t>ørstelagmann/utvalgsmedlem</w:t>
      </w:r>
    </w:p>
    <w:p w:rsidR="008947F8" w:rsidRDefault="008947F8" w:rsidP="00F42217">
      <w:pPr>
        <w:spacing w:after="0" w:line="288" w:lineRule="auto"/>
        <w:rPr>
          <w:rFonts w:ascii="Times New Roman" w:hAnsi="Times New Roman" w:cs="Times New Roman"/>
          <w:sz w:val="24"/>
          <w:szCs w:val="24"/>
        </w:rPr>
      </w:pPr>
    </w:p>
    <w:p w:rsidR="008947F8" w:rsidRDefault="008947F8" w:rsidP="00F42217">
      <w:pPr>
        <w:spacing w:after="0" w:line="288" w:lineRule="auto"/>
        <w:rPr>
          <w:rFonts w:ascii="Times New Roman" w:hAnsi="Times New Roman" w:cs="Times New Roman"/>
          <w:sz w:val="24"/>
          <w:szCs w:val="24"/>
        </w:rPr>
      </w:pPr>
    </w:p>
    <w:p w:rsidR="008947F8" w:rsidRDefault="008947F8" w:rsidP="00F42217">
      <w:pPr>
        <w:spacing w:after="0" w:line="288" w:lineRule="auto"/>
      </w:pPr>
    </w:p>
    <w:sectPr w:rsidR="00894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CC"/>
    <w:rsid w:val="00002DD1"/>
    <w:rsid w:val="00011133"/>
    <w:rsid w:val="00014746"/>
    <w:rsid w:val="000168C6"/>
    <w:rsid w:val="00034D15"/>
    <w:rsid w:val="000978CC"/>
    <w:rsid w:val="000A7C3E"/>
    <w:rsid w:val="000B50E3"/>
    <w:rsid w:val="000C0781"/>
    <w:rsid w:val="000F7ABF"/>
    <w:rsid w:val="0011071D"/>
    <w:rsid w:val="00121CF6"/>
    <w:rsid w:val="00127CDC"/>
    <w:rsid w:val="00174086"/>
    <w:rsid w:val="00191E08"/>
    <w:rsid w:val="001D498A"/>
    <w:rsid w:val="00200437"/>
    <w:rsid w:val="00205027"/>
    <w:rsid w:val="00221F87"/>
    <w:rsid w:val="00223280"/>
    <w:rsid w:val="00233F7F"/>
    <w:rsid w:val="002352EA"/>
    <w:rsid w:val="00236AD7"/>
    <w:rsid w:val="00281792"/>
    <w:rsid w:val="002A0E0D"/>
    <w:rsid w:val="002A4406"/>
    <w:rsid w:val="002A6E8F"/>
    <w:rsid w:val="002B43A8"/>
    <w:rsid w:val="002C6B9A"/>
    <w:rsid w:val="002E207B"/>
    <w:rsid w:val="002F06CB"/>
    <w:rsid w:val="00323201"/>
    <w:rsid w:val="003B0BB2"/>
    <w:rsid w:val="003B19F8"/>
    <w:rsid w:val="003B614B"/>
    <w:rsid w:val="004112FD"/>
    <w:rsid w:val="004A61E5"/>
    <w:rsid w:val="004C653A"/>
    <w:rsid w:val="004D57A5"/>
    <w:rsid w:val="004E6635"/>
    <w:rsid w:val="004E7423"/>
    <w:rsid w:val="004F39EF"/>
    <w:rsid w:val="00505254"/>
    <w:rsid w:val="00536C0A"/>
    <w:rsid w:val="00543A68"/>
    <w:rsid w:val="00561CD9"/>
    <w:rsid w:val="005663D5"/>
    <w:rsid w:val="005707CC"/>
    <w:rsid w:val="005808BC"/>
    <w:rsid w:val="005B4249"/>
    <w:rsid w:val="005C0C5F"/>
    <w:rsid w:val="005C0D43"/>
    <w:rsid w:val="005F6904"/>
    <w:rsid w:val="005F732E"/>
    <w:rsid w:val="00647FDB"/>
    <w:rsid w:val="0066026C"/>
    <w:rsid w:val="006743C6"/>
    <w:rsid w:val="00676354"/>
    <w:rsid w:val="006B1EA0"/>
    <w:rsid w:val="006B1F4C"/>
    <w:rsid w:val="006E1A7B"/>
    <w:rsid w:val="006E3266"/>
    <w:rsid w:val="006E3E33"/>
    <w:rsid w:val="00702F9D"/>
    <w:rsid w:val="00713580"/>
    <w:rsid w:val="00720BD8"/>
    <w:rsid w:val="00731B8D"/>
    <w:rsid w:val="0073775D"/>
    <w:rsid w:val="00744E8C"/>
    <w:rsid w:val="007D3598"/>
    <w:rsid w:val="007E449A"/>
    <w:rsid w:val="007F4B00"/>
    <w:rsid w:val="00800E5C"/>
    <w:rsid w:val="00803C3A"/>
    <w:rsid w:val="0081362D"/>
    <w:rsid w:val="00833785"/>
    <w:rsid w:val="00836E57"/>
    <w:rsid w:val="0086026E"/>
    <w:rsid w:val="0086356E"/>
    <w:rsid w:val="00871209"/>
    <w:rsid w:val="00872084"/>
    <w:rsid w:val="00885EB7"/>
    <w:rsid w:val="00890BF4"/>
    <w:rsid w:val="008947F8"/>
    <w:rsid w:val="00895537"/>
    <w:rsid w:val="008A641A"/>
    <w:rsid w:val="009059F5"/>
    <w:rsid w:val="00913815"/>
    <w:rsid w:val="009223FE"/>
    <w:rsid w:val="00922F6A"/>
    <w:rsid w:val="00942760"/>
    <w:rsid w:val="00943979"/>
    <w:rsid w:val="00960238"/>
    <w:rsid w:val="00960A51"/>
    <w:rsid w:val="009801CD"/>
    <w:rsid w:val="00981FBC"/>
    <w:rsid w:val="00992DFC"/>
    <w:rsid w:val="009A1C15"/>
    <w:rsid w:val="009A7F82"/>
    <w:rsid w:val="009B6260"/>
    <w:rsid w:val="009B7D7B"/>
    <w:rsid w:val="009B7FD1"/>
    <w:rsid w:val="009C0159"/>
    <w:rsid w:val="009F120B"/>
    <w:rsid w:val="009F1C8D"/>
    <w:rsid w:val="00A079BF"/>
    <w:rsid w:val="00A14514"/>
    <w:rsid w:val="00A3744D"/>
    <w:rsid w:val="00A6096B"/>
    <w:rsid w:val="00A66B74"/>
    <w:rsid w:val="00A723DC"/>
    <w:rsid w:val="00A86B2F"/>
    <w:rsid w:val="00AC5420"/>
    <w:rsid w:val="00AE35A6"/>
    <w:rsid w:val="00B14D80"/>
    <w:rsid w:val="00B21799"/>
    <w:rsid w:val="00B26BB4"/>
    <w:rsid w:val="00B4764E"/>
    <w:rsid w:val="00B5365A"/>
    <w:rsid w:val="00B629F1"/>
    <w:rsid w:val="00B65A0B"/>
    <w:rsid w:val="00B92CA6"/>
    <w:rsid w:val="00BC70BE"/>
    <w:rsid w:val="00C21512"/>
    <w:rsid w:val="00C22E15"/>
    <w:rsid w:val="00C52B81"/>
    <w:rsid w:val="00C72353"/>
    <w:rsid w:val="00C86683"/>
    <w:rsid w:val="00C87936"/>
    <w:rsid w:val="00C95A29"/>
    <w:rsid w:val="00CA0467"/>
    <w:rsid w:val="00CB50A4"/>
    <w:rsid w:val="00D177C6"/>
    <w:rsid w:val="00D178CE"/>
    <w:rsid w:val="00D2441D"/>
    <w:rsid w:val="00D26E7F"/>
    <w:rsid w:val="00D427DF"/>
    <w:rsid w:val="00D56AB1"/>
    <w:rsid w:val="00D622D0"/>
    <w:rsid w:val="00D66CF7"/>
    <w:rsid w:val="00D923F0"/>
    <w:rsid w:val="00D92411"/>
    <w:rsid w:val="00D9385B"/>
    <w:rsid w:val="00DC65B2"/>
    <w:rsid w:val="00E22F29"/>
    <w:rsid w:val="00E32849"/>
    <w:rsid w:val="00E673D7"/>
    <w:rsid w:val="00E7373C"/>
    <w:rsid w:val="00EB2391"/>
    <w:rsid w:val="00EB78E9"/>
    <w:rsid w:val="00EC7197"/>
    <w:rsid w:val="00F051A2"/>
    <w:rsid w:val="00F10FAF"/>
    <w:rsid w:val="00F276CE"/>
    <w:rsid w:val="00F331E7"/>
    <w:rsid w:val="00F42217"/>
    <w:rsid w:val="00F57A6E"/>
    <w:rsid w:val="00F8145B"/>
    <w:rsid w:val="00F82812"/>
    <w:rsid w:val="00FA3F1B"/>
    <w:rsid w:val="00FD69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F2084-F3FB-4B19-B8CE-DE07CE2F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78CC"/>
  </w:style>
  <w:style w:type="paragraph" w:styleId="Overskrift1">
    <w:name w:val="heading 1"/>
    <w:basedOn w:val="Normal"/>
    <w:next w:val="Normal"/>
    <w:link w:val="Overskrift1Tegn"/>
    <w:uiPriority w:val="9"/>
    <w:qFormat/>
    <w:rsid w:val="00942760"/>
    <w:pPr>
      <w:keepNext/>
      <w:keepLines/>
      <w:spacing w:before="480" w:after="0"/>
      <w:outlineLvl w:val="0"/>
    </w:pPr>
    <w:rPr>
      <w:rFonts w:asciiTheme="majorHAnsi" w:eastAsiaTheme="majorEastAsia" w:hAnsiTheme="majorHAnsi" w:cstheme="majorBid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276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2376</Words>
  <Characters>12595</Characters>
  <Application>Microsoft Office Word</Application>
  <DocSecurity>4</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DA</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Nordén, Dag Bugge</dc:creator>
  <cp:lastModifiedBy>Solveig Dahl Kongsvik</cp:lastModifiedBy>
  <cp:revision>2</cp:revision>
  <cp:lastPrinted>2017-02-16T21:13:00Z</cp:lastPrinted>
  <dcterms:created xsi:type="dcterms:W3CDTF">2017-02-24T10:10:00Z</dcterms:created>
  <dcterms:modified xsi:type="dcterms:W3CDTF">2017-02-24T10:10:00Z</dcterms:modified>
</cp:coreProperties>
</file>